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8E71C6" w:rsidRDefault="000B11C8">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Default="001913FF" w:rsidP="00282C1B">
            <w:pPr>
              <w:rPr>
                <w:b/>
                <w:bCs/>
                <w:noProof w:val="0"/>
                <w:sz w:val="26"/>
                <w:szCs w:val="26"/>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2019765730"/>
                <w:text w:multiLine="1"/>
              </w:sdtPr>
              <w:sdtEndPr/>
              <w:sdtContent>
                <w:r w:rsidR="00CC29C2">
                  <w:rPr>
                    <w:rFonts w:ascii="Arial" w:hAnsi="Arial"/>
                    <w:b/>
                    <w:bCs/>
                    <w:noProof w:val="0"/>
                    <w:sz w:val="26"/>
                    <w:szCs w:val="26"/>
                    <w:rtl/>
                  </w:rPr>
                  <w:t>א</w:t>
                </w:r>
                <w:r w:rsidR="00282C1B">
                  <w:rPr>
                    <w:rFonts w:ascii="Arial" w:hAnsi="Arial" w:hint="cs"/>
                    <w:b/>
                    <w:bCs/>
                    <w:noProof w:val="0"/>
                    <w:sz w:val="26"/>
                    <w:szCs w:val="26"/>
                    <w:rtl/>
                  </w:rPr>
                  <w:t>.</w:t>
                </w:r>
                <w:r w:rsidR="00CC29C2">
                  <w:rPr>
                    <w:rFonts w:ascii="Arial" w:hAnsi="Arial"/>
                    <w:b/>
                    <w:bCs/>
                    <w:noProof w:val="0"/>
                    <w:sz w:val="26"/>
                    <w:szCs w:val="26"/>
                    <w:rtl/>
                  </w:rPr>
                  <w:t xml:space="preserve"> פ</w:t>
                </w:r>
                <w:r w:rsidR="00282C1B">
                  <w:rPr>
                    <w:rFonts w:hint="cs"/>
                    <w:rtl/>
                  </w:rPr>
                  <w:t>.</w:t>
                </w:r>
              </w:sdtContent>
            </w:sdt>
            <w:r w:rsidR="00011212">
              <w:rPr>
                <w:rFonts w:ascii="Arial" w:hAnsi="Arial" w:hint="cs"/>
                <w:b/>
                <w:bCs/>
                <w:noProof w:val="0"/>
                <w:sz w:val="26"/>
                <w:szCs w:val="26"/>
                <w:rtl/>
              </w:rPr>
              <w:t xml:space="preserve"> </w:t>
            </w:r>
          </w:p>
          <w:p w:rsidR="002914D6" w:rsidRDefault="001913FF" w:rsidP="00282C1B">
            <w:pPr>
              <w:rPr>
                <w:b/>
                <w:bCs/>
                <w:noProof w:val="0"/>
                <w:sz w:val="26"/>
                <w:szCs w:val="26"/>
              </w:rPr>
            </w:pPr>
            <w:sdt>
              <w:sdtPr>
                <w:rPr>
                  <w:rtl/>
                </w:rPr>
                <w:alias w:val="1462"/>
                <w:tag w:val="1462"/>
                <w:id w:val="803731961"/>
                <w:text w:multiLine="1"/>
              </w:sdtPr>
              <w:sdtEndPr/>
              <w:sdtContent>
                <w:r w:rsidR="00CC29C2">
                  <w:rPr>
                    <w:rFonts w:ascii="Arial" w:hAnsi="Arial"/>
                    <w:b/>
                    <w:bCs/>
                    <w:noProof w:val="0"/>
                    <w:sz w:val="26"/>
                    <w:szCs w:val="26"/>
                    <w:rtl/>
                  </w:rPr>
                  <w:t>2</w:t>
                </w:r>
              </w:sdtContent>
            </w:sdt>
            <w:r w:rsidR="00011212">
              <w:rPr>
                <w:b/>
                <w:bCs/>
                <w:noProof w:val="0"/>
                <w:sz w:val="26"/>
                <w:szCs w:val="26"/>
                <w:rtl/>
              </w:rPr>
              <w:t xml:space="preserve">. </w:t>
            </w:r>
            <w:sdt>
              <w:sdtPr>
                <w:rPr>
                  <w:rtl/>
                </w:rPr>
                <w:alias w:val="1478"/>
                <w:tag w:val="1478"/>
                <w:id w:val="1176772569"/>
                <w:text w:multiLine="1"/>
              </w:sdtPr>
              <w:sdtEndPr/>
              <w:sdtContent>
                <w:r w:rsidR="00CC29C2">
                  <w:rPr>
                    <w:rFonts w:ascii="Arial" w:hAnsi="Arial"/>
                    <w:b/>
                    <w:bCs/>
                    <w:noProof w:val="0"/>
                    <w:sz w:val="26"/>
                    <w:szCs w:val="26"/>
                    <w:rtl/>
                  </w:rPr>
                  <w:t>י</w:t>
                </w:r>
                <w:r w:rsidR="00282C1B">
                  <w:rPr>
                    <w:rFonts w:ascii="Arial" w:hAnsi="Arial" w:hint="cs"/>
                    <w:b/>
                    <w:bCs/>
                    <w:noProof w:val="0"/>
                    <w:sz w:val="26"/>
                    <w:szCs w:val="26"/>
                    <w:rtl/>
                  </w:rPr>
                  <w:t>.</w:t>
                </w:r>
                <w:r w:rsidR="00CC29C2">
                  <w:rPr>
                    <w:rFonts w:ascii="Arial" w:hAnsi="Arial"/>
                    <w:b/>
                    <w:bCs/>
                    <w:noProof w:val="0"/>
                    <w:sz w:val="26"/>
                    <w:szCs w:val="26"/>
                    <w:rtl/>
                  </w:rPr>
                  <w:t xml:space="preserve"> ס</w:t>
                </w:r>
                <w:r w:rsidR="00282C1B">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6"/>
                <w:tag w:val="2316"/>
                <w:id w:val="1325935953"/>
                <w:text w:multiLine="1"/>
              </w:sdtPr>
              <w:sdtEndPr/>
              <w:sdtContent/>
            </w:sdt>
          </w:p>
          <w:p w:rsidR="00282C1B" w:rsidRDefault="001913FF" w:rsidP="00282C1B">
            <w:pPr>
              <w:rPr>
                <w:rtl/>
              </w:rPr>
            </w:pPr>
            <w:sdt>
              <w:sdtPr>
                <w:rPr>
                  <w:rtl/>
                </w:rPr>
                <w:alias w:val="1462"/>
                <w:tag w:val="1462"/>
                <w:id w:val="-287590401"/>
                <w:text w:multiLine="1"/>
              </w:sdtPr>
              <w:sdtEndPr/>
              <w:sdtContent>
                <w:r w:rsidR="00CC29C2">
                  <w:rPr>
                    <w:rFonts w:ascii="Arial" w:hAnsi="Arial"/>
                    <w:b/>
                    <w:bCs/>
                    <w:noProof w:val="0"/>
                    <w:sz w:val="26"/>
                    <w:szCs w:val="26"/>
                    <w:rtl/>
                  </w:rPr>
                  <w:t>3</w:t>
                </w:r>
              </w:sdtContent>
            </w:sdt>
            <w:r w:rsidR="00011212">
              <w:rPr>
                <w:b/>
                <w:bCs/>
                <w:noProof w:val="0"/>
                <w:sz w:val="26"/>
                <w:szCs w:val="26"/>
                <w:rtl/>
              </w:rPr>
              <w:t xml:space="preserve">. </w:t>
            </w:r>
            <w:sdt>
              <w:sdtPr>
                <w:rPr>
                  <w:rtl/>
                </w:rPr>
                <w:alias w:val="1478"/>
                <w:tag w:val="1478"/>
                <w:id w:val="549886673"/>
                <w:text w:multiLine="1"/>
              </w:sdtPr>
              <w:sdtEndPr/>
              <w:sdtContent>
                <w:r w:rsidR="00CC29C2">
                  <w:rPr>
                    <w:rFonts w:ascii="Arial" w:hAnsi="Arial"/>
                    <w:b/>
                    <w:bCs/>
                    <w:noProof w:val="0"/>
                    <w:sz w:val="26"/>
                    <w:szCs w:val="26"/>
                    <w:rtl/>
                  </w:rPr>
                  <w:t>ב</w:t>
                </w:r>
                <w:r w:rsidR="00282C1B">
                  <w:rPr>
                    <w:rFonts w:ascii="Arial" w:hAnsi="Arial" w:hint="cs"/>
                    <w:b/>
                    <w:bCs/>
                    <w:noProof w:val="0"/>
                    <w:sz w:val="26"/>
                    <w:szCs w:val="26"/>
                    <w:rtl/>
                  </w:rPr>
                  <w:t>.</w:t>
                </w:r>
                <w:r w:rsidR="00CC29C2">
                  <w:rPr>
                    <w:rFonts w:ascii="Arial" w:hAnsi="Arial"/>
                    <w:b/>
                    <w:bCs/>
                    <w:noProof w:val="0"/>
                    <w:sz w:val="26"/>
                    <w:szCs w:val="26"/>
                    <w:rtl/>
                  </w:rPr>
                  <w:t xml:space="preserve"> מ</w:t>
                </w:r>
                <w:r w:rsidR="00282C1B">
                  <w:rPr>
                    <w:rFonts w:ascii="Arial" w:hAnsi="Arial" w:hint="cs"/>
                    <w:b/>
                    <w:bCs/>
                    <w:noProof w:val="0"/>
                    <w:sz w:val="26"/>
                    <w:szCs w:val="26"/>
                    <w:rtl/>
                  </w:rPr>
                  <w:t>.</w:t>
                </w:r>
              </w:sdtContent>
            </w:sdt>
            <w:r w:rsidR="00011212">
              <w:rPr>
                <w:rFonts w:ascii="Arial" w:hAnsi="Arial" w:hint="cs"/>
                <w:b/>
                <w:bCs/>
                <w:noProof w:val="0"/>
                <w:sz w:val="26"/>
                <w:szCs w:val="26"/>
                <w:rtl/>
              </w:rPr>
              <w:t xml:space="preserve"> </w:t>
            </w:r>
          </w:p>
          <w:p w:rsidR="002914D6" w:rsidRDefault="001913FF" w:rsidP="00282C1B">
            <w:pPr>
              <w:rPr>
                <w:b/>
                <w:bCs/>
                <w:noProof w:val="0"/>
                <w:sz w:val="26"/>
                <w:szCs w:val="26"/>
              </w:rPr>
            </w:pPr>
            <w:sdt>
              <w:sdtPr>
                <w:rPr>
                  <w:rtl/>
                </w:rPr>
                <w:alias w:val="2316"/>
                <w:tag w:val="2316"/>
                <w:id w:val="1568845441"/>
                <w:text w:multiLine="1"/>
              </w:sdtPr>
              <w:sdtEndPr/>
              <w:sdtContent>
                <w:r w:rsidR="007B00F3">
                  <w:rPr>
                    <w:rFonts w:hint="cs"/>
                    <w:rtl/>
                  </w:rPr>
                  <w:t>ע"י ב"כ עו"ד עינת גורביץ</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1913FF" w:rsidP="007B00F3">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w:t>
                </w:r>
                <w:r w:rsidR="007B00F3">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1913FF" w:rsidP="00282C1B">
            <w:pPr>
              <w:rPr>
                <w:b/>
                <w:bCs/>
                <w:noProof w:val="0"/>
                <w:sz w:val="26"/>
                <w:szCs w:val="26"/>
                <w:rtl/>
              </w:rPr>
            </w:pPr>
            <w:sdt>
              <w:sdtPr>
                <w:rPr>
                  <w:rtl/>
                </w:rPr>
                <w:alias w:val="1486"/>
                <w:tag w:val="1486"/>
                <w:id w:val="-1219885928"/>
                <w:text w:multiLine="1"/>
              </w:sdtPr>
              <w:sdtEndPr/>
              <w:sdtContent>
                <w:r w:rsidR="00CC29C2">
                  <w:rPr>
                    <w:rFonts w:ascii="Arial" w:hAnsi="Arial"/>
                    <w:b/>
                    <w:bCs/>
                    <w:noProof w:val="0"/>
                    <w:sz w:val="26"/>
                    <w:szCs w:val="26"/>
                    <w:rtl/>
                  </w:rPr>
                  <w:t>ט</w:t>
                </w:r>
                <w:r w:rsidR="00282C1B">
                  <w:rPr>
                    <w:rFonts w:ascii="Arial" w:hAnsi="Arial" w:hint="cs"/>
                    <w:b/>
                    <w:bCs/>
                    <w:noProof w:val="0"/>
                    <w:sz w:val="26"/>
                    <w:szCs w:val="26"/>
                    <w:rtl/>
                  </w:rPr>
                  <w:t>.</w:t>
                </w:r>
                <w:r w:rsidR="00CC29C2">
                  <w:rPr>
                    <w:rFonts w:ascii="Arial" w:hAnsi="Arial"/>
                    <w:b/>
                    <w:bCs/>
                    <w:noProof w:val="0"/>
                    <w:sz w:val="26"/>
                    <w:szCs w:val="26"/>
                    <w:rtl/>
                  </w:rPr>
                  <w:t xml:space="preserve"> ג</w:t>
                </w:r>
                <w:r w:rsidR="00282C1B">
                  <w:rPr>
                    <w:rFonts w:hint="cs"/>
                    <w:rtl/>
                  </w:rPr>
                  <w:t>.</w:t>
                </w:r>
              </w:sdtContent>
            </w:sdt>
            <w:r w:rsidR="00282C1B">
              <w:rPr>
                <w:rFonts w:hint="cs"/>
                <w:rtl/>
              </w:rPr>
              <w:t xml:space="preserve"> </w:t>
            </w:r>
            <w:sdt>
              <w:sdtPr>
                <w:rPr>
                  <w:rtl/>
                </w:rPr>
                <w:alias w:val="2318"/>
                <w:tag w:val="2318"/>
                <w:id w:val="-282733546"/>
                <w:text w:multiLine="1"/>
              </w:sdtPr>
              <w:sdtEndPr/>
              <w:sdtContent/>
            </w:sdt>
          </w:p>
        </w:tc>
      </w:tr>
      <w:tr w:rsidR="00DA714E" w:rsidTr="00020144">
        <w:tc>
          <w:tcPr>
            <w:tcW w:w="8820" w:type="dxa"/>
            <w:gridSpan w:val="3"/>
          </w:tcPr>
          <w:p w:rsidR="008E71C6" w:rsidRDefault="008E71C6">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7B00F3">
        <w:trPr>
          <w:jc w:val="center"/>
        </w:trPr>
        <w:tc>
          <w:tcPr>
            <w:tcW w:w="8820" w:type="dxa"/>
          </w:tcPr>
          <w:p w:rsidR="002914D6" w:rsidRPr="007B00F3" w:rsidRDefault="002914D6">
            <w:pPr>
              <w:bidi w:val="0"/>
              <w:jc w:val="center"/>
              <w:rPr>
                <w:rFonts w:ascii="Arial" w:hAnsi="Arial"/>
                <w:b/>
                <w:bCs/>
                <w:i/>
                <w:iCs/>
                <w:noProof w:val="0"/>
                <w:sz w:val="36"/>
                <w:szCs w:val="36"/>
              </w:rPr>
            </w:pPr>
          </w:p>
          <w:p w:rsidR="002914D6" w:rsidRPr="007B00F3" w:rsidRDefault="00530E94">
            <w:pPr>
              <w:bidi w:val="0"/>
              <w:jc w:val="center"/>
              <w:rPr>
                <w:rFonts w:ascii="Arial" w:hAnsi="Arial"/>
                <w:b/>
                <w:bCs/>
                <w:i/>
                <w:iCs/>
                <w:noProof w:val="0"/>
                <w:sz w:val="36"/>
                <w:szCs w:val="36"/>
                <w:u w:val="single"/>
              </w:rPr>
            </w:pPr>
            <w:r w:rsidRPr="007B00F3">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7B00F3" w:rsidRDefault="007B00F3" w:rsidP="00282C1B">
      <w:pPr>
        <w:spacing w:line="360" w:lineRule="auto"/>
        <w:rPr>
          <w:rFonts w:ascii="David" w:hAnsi="David"/>
          <w:noProof w:val="0"/>
        </w:rPr>
      </w:pPr>
      <w:r>
        <w:rPr>
          <w:rFonts w:ascii="David" w:hAnsi="David"/>
          <w:rtl/>
        </w:rPr>
        <w:t xml:space="preserve">לפניי תביעה לפירוק שיתוף בדירת מגורים, המצויה ברח' </w:t>
      </w:r>
      <w:r w:rsidR="00282C1B">
        <w:rPr>
          <w:rFonts w:ascii="David" w:hAnsi="David" w:hint="cs"/>
        </w:rPr>
        <w:t>XXX</w:t>
      </w:r>
      <w:r w:rsidR="00282C1B">
        <w:rPr>
          <w:rFonts w:ascii="David" w:hAnsi="David"/>
        </w:rPr>
        <w:t xml:space="preserve"> </w:t>
      </w:r>
      <w:r w:rsidR="00282C1B">
        <w:rPr>
          <w:rFonts w:ascii="David" w:hAnsi="David" w:hint="cs"/>
          <w:rtl/>
        </w:rPr>
        <w:t xml:space="preserve"> ב_____</w:t>
      </w:r>
      <w:r>
        <w:rPr>
          <w:rFonts w:ascii="David" w:hAnsi="David"/>
          <w:rtl/>
        </w:rPr>
        <w:t xml:space="preserve"> והידועה כגוש </w:t>
      </w:r>
      <w:r w:rsidR="00282C1B">
        <w:rPr>
          <w:rFonts w:ascii="David" w:hAnsi="David" w:hint="cs"/>
        </w:rPr>
        <w:t>XX</w:t>
      </w:r>
      <w:r w:rsidR="00282C1B">
        <w:rPr>
          <w:rFonts w:ascii="David" w:hAnsi="David"/>
        </w:rPr>
        <w:t>XX</w:t>
      </w:r>
      <w:r w:rsidR="00282C1B">
        <w:rPr>
          <w:rFonts w:ascii="David" w:hAnsi="David" w:hint="cs"/>
        </w:rPr>
        <w:t>X</w:t>
      </w:r>
      <w:r>
        <w:rPr>
          <w:rFonts w:ascii="David" w:hAnsi="David"/>
          <w:rtl/>
        </w:rPr>
        <w:t xml:space="preserve"> חלקה </w:t>
      </w:r>
      <w:r w:rsidR="00282C1B">
        <w:rPr>
          <w:rFonts w:ascii="David" w:hAnsi="David" w:hint="cs"/>
        </w:rPr>
        <w:t>XXX</w:t>
      </w:r>
      <w:r>
        <w:rPr>
          <w:rFonts w:ascii="David" w:hAnsi="David"/>
          <w:rtl/>
        </w:rPr>
        <w:t xml:space="preserve">, תת חלקה </w:t>
      </w:r>
      <w:r w:rsidR="00282C1B">
        <w:rPr>
          <w:rFonts w:ascii="David" w:hAnsi="David" w:hint="cs"/>
        </w:rPr>
        <w:t>X</w:t>
      </w:r>
      <w:r>
        <w:rPr>
          <w:rFonts w:ascii="David" w:hAnsi="David"/>
          <w:rtl/>
        </w:rPr>
        <w:t xml:space="preserve"> (להלן: "</w:t>
      </w:r>
      <w:r>
        <w:rPr>
          <w:rFonts w:ascii="David" w:hAnsi="David"/>
          <w:b/>
          <w:bCs/>
          <w:rtl/>
        </w:rPr>
        <w:t>הדירה</w:t>
      </w:r>
      <w:r>
        <w:rPr>
          <w:rFonts w:ascii="David" w:hAnsi="David"/>
          <w:rtl/>
        </w:rPr>
        <w:t>").</w:t>
      </w:r>
    </w:p>
    <w:p w:rsidR="007B00F3" w:rsidRDefault="007B00F3" w:rsidP="007B00F3">
      <w:pPr>
        <w:spacing w:line="360" w:lineRule="auto"/>
        <w:rPr>
          <w:rFonts w:ascii="David" w:hAnsi="David"/>
        </w:rPr>
      </w:pPr>
    </w:p>
    <w:p w:rsidR="007B00F3" w:rsidRDefault="007B00F3" w:rsidP="007B00F3">
      <w:pPr>
        <w:spacing w:line="360" w:lineRule="auto"/>
        <w:rPr>
          <w:rFonts w:ascii="David" w:hAnsi="David"/>
          <w:b/>
          <w:bCs/>
          <w:u w:val="single"/>
          <w:rtl/>
        </w:rPr>
      </w:pPr>
      <w:r>
        <w:rPr>
          <w:rFonts w:ascii="David" w:hAnsi="David"/>
          <w:b/>
          <w:bCs/>
          <w:u w:val="single"/>
          <w:rtl/>
        </w:rPr>
        <w:t>רקע עובדתי רלוונטי</w:t>
      </w:r>
    </w:p>
    <w:p w:rsidR="007B00F3" w:rsidRDefault="007B00F3" w:rsidP="007B00F3">
      <w:pPr>
        <w:spacing w:line="360" w:lineRule="auto"/>
        <w:rPr>
          <w:rFonts w:ascii="David" w:hAnsi="David"/>
          <w:b/>
          <w:bCs/>
          <w:u w:val="single"/>
          <w:rtl/>
        </w:rPr>
      </w:pPr>
    </w:p>
    <w:p w:rsidR="007B00F3" w:rsidRDefault="007B00F3" w:rsidP="00282C1B">
      <w:pPr>
        <w:pStyle w:val="ae"/>
        <w:numPr>
          <w:ilvl w:val="0"/>
          <w:numId w:val="1"/>
        </w:numPr>
        <w:spacing w:after="0" w:line="360" w:lineRule="auto"/>
        <w:rPr>
          <w:rFonts w:ascii="David" w:hAnsi="David"/>
          <w:b/>
          <w:bCs/>
          <w:sz w:val="24"/>
          <w:u w:val="single"/>
          <w:rtl/>
        </w:rPr>
      </w:pPr>
      <w:r>
        <w:rPr>
          <w:rFonts w:ascii="David" w:hAnsi="David"/>
          <w:sz w:val="24"/>
          <w:rtl/>
        </w:rPr>
        <w:t xml:space="preserve">התובעים הינם אחייניה של המנוחה </w:t>
      </w:r>
      <w:r w:rsidR="00282C1B">
        <w:rPr>
          <w:rFonts w:ascii="David" w:hAnsi="David" w:hint="cs"/>
          <w:sz w:val="24"/>
        </w:rPr>
        <w:t>XXX</w:t>
      </w:r>
      <w:r>
        <w:rPr>
          <w:rFonts w:ascii="David" w:hAnsi="David"/>
          <w:sz w:val="24"/>
          <w:rtl/>
        </w:rPr>
        <w:t xml:space="preserve"> ז"ל (להלן: "</w:t>
      </w:r>
      <w:r>
        <w:rPr>
          <w:rFonts w:ascii="David" w:hAnsi="David"/>
          <w:b/>
          <w:bCs/>
          <w:sz w:val="24"/>
          <w:rtl/>
        </w:rPr>
        <w:t>המנוחה</w:t>
      </w:r>
      <w:r>
        <w:rPr>
          <w:rFonts w:ascii="David" w:hAnsi="David"/>
          <w:sz w:val="24"/>
          <w:rtl/>
        </w:rPr>
        <w:t>").</w:t>
      </w:r>
    </w:p>
    <w:p w:rsidR="007B00F3" w:rsidRDefault="007B00F3" w:rsidP="007B00F3">
      <w:pPr>
        <w:pStyle w:val="ae"/>
        <w:spacing w:after="0" w:line="360" w:lineRule="auto"/>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Pr>
      </w:pPr>
      <w:r>
        <w:rPr>
          <w:rFonts w:ascii="David" w:hAnsi="David"/>
          <w:sz w:val="24"/>
          <w:rtl/>
        </w:rPr>
        <w:t>הנתבעת היא בתו של אחיין המנוחה (להלן: "</w:t>
      </w:r>
      <w:r>
        <w:rPr>
          <w:rFonts w:ascii="David" w:hAnsi="David"/>
          <w:b/>
          <w:bCs/>
          <w:sz w:val="24"/>
          <w:rtl/>
        </w:rPr>
        <w:t>האב</w:t>
      </w:r>
      <w:r>
        <w:rPr>
          <w:rFonts w:ascii="David" w:hAnsi="David"/>
          <w:sz w:val="24"/>
          <w:rtl/>
        </w:rPr>
        <w:t>").</w:t>
      </w:r>
    </w:p>
    <w:p w:rsidR="007B00F3" w:rsidRDefault="007B00F3" w:rsidP="007B00F3">
      <w:pPr>
        <w:pStyle w:val="ae"/>
        <w:spacing w:after="0" w:line="360" w:lineRule="auto"/>
        <w:rPr>
          <w:rFonts w:ascii="David" w:hAnsi="David"/>
          <w:b/>
          <w:bCs/>
          <w:sz w:val="24"/>
          <w:u w:val="single"/>
          <w:rtl/>
        </w:rPr>
      </w:pPr>
    </w:p>
    <w:p w:rsidR="007B00F3" w:rsidRDefault="007B00F3" w:rsidP="00282C1B">
      <w:pPr>
        <w:pStyle w:val="ae"/>
        <w:numPr>
          <w:ilvl w:val="0"/>
          <w:numId w:val="1"/>
        </w:numPr>
        <w:spacing w:after="0" w:line="360" w:lineRule="auto"/>
        <w:rPr>
          <w:rFonts w:ascii="David" w:hAnsi="David"/>
          <w:b/>
          <w:bCs/>
          <w:sz w:val="24"/>
          <w:u w:val="single"/>
        </w:rPr>
      </w:pPr>
      <w:r>
        <w:rPr>
          <w:rFonts w:ascii="David" w:hAnsi="David"/>
          <w:sz w:val="24"/>
          <w:rtl/>
        </w:rPr>
        <w:t xml:space="preserve">המנוחה השאירה צוואה מיום </w:t>
      </w:r>
      <w:r w:rsidR="00282C1B">
        <w:rPr>
          <w:rFonts w:ascii="David" w:hAnsi="David" w:hint="cs"/>
          <w:sz w:val="24"/>
        </w:rPr>
        <w:t>XXX</w:t>
      </w:r>
      <w:r>
        <w:rPr>
          <w:rFonts w:ascii="David" w:hAnsi="David"/>
          <w:sz w:val="24"/>
          <w:rtl/>
        </w:rPr>
        <w:t xml:space="preserve"> (להלן:</w:t>
      </w:r>
      <w:r w:rsidR="00282C1B">
        <w:rPr>
          <w:rFonts w:ascii="David" w:hAnsi="David" w:hint="cs"/>
          <w:sz w:val="24"/>
        </w:rPr>
        <w:t xml:space="preserve"> </w:t>
      </w:r>
      <w:r>
        <w:rPr>
          <w:rFonts w:ascii="David" w:hAnsi="David"/>
          <w:sz w:val="24"/>
          <w:rtl/>
        </w:rPr>
        <w:t>"</w:t>
      </w:r>
      <w:r>
        <w:rPr>
          <w:rFonts w:ascii="David" w:hAnsi="David"/>
          <w:b/>
          <w:bCs/>
          <w:sz w:val="24"/>
          <w:rtl/>
        </w:rPr>
        <w:t>הצוואה</w:t>
      </w:r>
      <w:r>
        <w:rPr>
          <w:rFonts w:ascii="David" w:hAnsi="David"/>
          <w:sz w:val="24"/>
          <w:rtl/>
        </w:rPr>
        <w:t>").</w:t>
      </w:r>
    </w:p>
    <w:p w:rsidR="007B00F3" w:rsidRDefault="007B00F3" w:rsidP="007B00F3">
      <w:pPr>
        <w:pStyle w:val="ae"/>
        <w:spacing w:after="0" w:line="360" w:lineRule="auto"/>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tl/>
        </w:rPr>
      </w:pPr>
      <w:r>
        <w:rPr>
          <w:rFonts w:ascii="David" w:hAnsi="David"/>
          <w:sz w:val="24"/>
          <w:rtl/>
        </w:rPr>
        <w:t>במסגרת הצוואה, המנוחה הותירה לתובעים ולנתבעת את זכויותיה בדירה.</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tl/>
        </w:rPr>
      </w:pPr>
      <w:r>
        <w:rPr>
          <w:rFonts w:ascii="David" w:hAnsi="David"/>
          <w:sz w:val="24"/>
          <w:rtl/>
        </w:rPr>
        <w:t xml:space="preserve">הנתבעת והאב הגישו התנגדות לבקשה לצו קיום צוואה, והתנגדותם נדחתה בפסק דין מיום </w:t>
      </w:r>
      <w:r>
        <w:rPr>
          <w:rFonts w:ascii="David" w:hAnsi="David"/>
          <w:sz w:val="24"/>
          <w:rtl/>
        </w:rPr>
        <w:softHyphen/>
      </w:r>
      <w:r>
        <w:rPr>
          <w:rFonts w:ascii="David" w:hAnsi="David"/>
          <w:sz w:val="24"/>
          <w:rtl/>
        </w:rPr>
        <w:softHyphen/>
        <w:t>15.8.2024 (להלן: "</w:t>
      </w:r>
      <w:r>
        <w:rPr>
          <w:rFonts w:ascii="David" w:hAnsi="David"/>
          <w:b/>
          <w:bCs/>
          <w:sz w:val="24"/>
          <w:rtl/>
        </w:rPr>
        <w:t>פסק הדין</w:t>
      </w:r>
      <w:r>
        <w:rPr>
          <w:rFonts w:ascii="David" w:hAnsi="David"/>
          <w:sz w:val="24"/>
          <w:rtl/>
        </w:rPr>
        <w:t>").</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tl/>
        </w:rPr>
      </w:pPr>
      <w:r>
        <w:rPr>
          <w:rFonts w:ascii="David" w:hAnsi="David"/>
          <w:sz w:val="24"/>
          <w:rtl/>
        </w:rPr>
        <w:t xml:space="preserve">על פסק הדין הוגש ערעור שטרם הוכרע. </w:t>
      </w:r>
    </w:p>
    <w:p w:rsidR="007B00F3" w:rsidRDefault="007B00F3" w:rsidP="007B00F3">
      <w:pPr>
        <w:spacing w:line="360" w:lineRule="auto"/>
        <w:ind w:left="360"/>
        <w:rPr>
          <w:rFonts w:ascii="David" w:hAnsi="David"/>
          <w:b/>
          <w:bCs/>
          <w:u w:val="single"/>
        </w:rPr>
      </w:pPr>
    </w:p>
    <w:p w:rsidR="007B00F3" w:rsidRDefault="007B00F3" w:rsidP="00282C1B">
      <w:pPr>
        <w:pStyle w:val="ae"/>
        <w:numPr>
          <w:ilvl w:val="0"/>
          <w:numId w:val="1"/>
        </w:numPr>
        <w:spacing w:after="0" w:line="360" w:lineRule="auto"/>
        <w:rPr>
          <w:rFonts w:ascii="David" w:hAnsi="David"/>
          <w:sz w:val="24"/>
          <w:rtl/>
        </w:rPr>
      </w:pPr>
      <w:r>
        <w:rPr>
          <w:rFonts w:ascii="David" w:hAnsi="David"/>
          <w:sz w:val="24"/>
          <w:rtl/>
        </w:rPr>
        <w:lastRenderedPageBreak/>
        <w:t xml:space="preserve">מכוח הצוואה, ביום </w:t>
      </w:r>
      <w:r w:rsidR="00282C1B">
        <w:rPr>
          <w:rFonts w:ascii="David" w:hAnsi="David" w:hint="cs"/>
          <w:sz w:val="24"/>
        </w:rPr>
        <w:t>XXX</w:t>
      </w:r>
      <w:r>
        <w:rPr>
          <w:rFonts w:ascii="David" w:hAnsi="David"/>
          <w:sz w:val="24"/>
          <w:rtl/>
        </w:rPr>
        <w:t xml:space="preserve"> נרשמה הדירה בלשכת רישום מקרקעין ירושלים, על שם התובעים והנתבעת (להלן: "</w:t>
      </w:r>
      <w:r>
        <w:rPr>
          <w:rFonts w:ascii="David" w:hAnsi="David"/>
          <w:b/>
          <w:bCs/>
          <w:sz w:val="24"/>
          <w:rtl/>
        </w:rPr>
        <w:t>הצדדים</w:t>
      </w:r>
      <w:r>
        <w:rPr>
          <w:rFonts w:ascii="David" w:hAnsi="David"/>
          <w:sz w:val="24"/>
          <w:rtl/>
        </w:rPr>
        <w:t xml:space="preserve">"), כאשר כל אחד מהצדדים הינו הבעלים של 25% מהזכויות בדירה. </w:t>
      </w:r>
    </w:p>
    <w:p w:rsidR="007B00F3" w:rsidRDefault="007B00F3" w:rsidP="007B00F3">
      <w:pPr>
        <w:pStyle w:val="ae"/>
        <w:spacing w:after="0" w:line="360" w:lineRule="auto"/>
        <w:rPr>
          <w:rFonts w:ascii="David" w:hAnsi="David"/>
          <w:sz w:val="24"/>
        </w:rPr>
      </w:pPr>
    </w:p>
    <w:p w:rsidR="007B00F3" w:rsidRDefault="007B00F3" w:rsidP="007B00F3">
      <w:pPr>
        <w:spacing w:line="360" w:lineRule="auto"/>
        <w:rPr>
          <w:rFonts w:ascii="David" w:hAnsi="David"/>
          <w:b/>
          <w:bCs/>
          <w:u w:val="single"/>
          <w:rtl/>
        </w:rPr>
      </w:pPr>
      <w:r>
        <w:rPr>
          <w:rFonts w:ascii="David" w:hAnsi="David"/>
          <w:b/>
          <w:bCs/>
          <w:u w:val="single"/>
          <w:rtl/>
        </w:rPr>
        <w:t>עיקר טענות התובעים</w:t>
      </w:r>
    </w:p>
    <w:p w:rsidR="007B00F3" w:rsidRDefault="007B00F3" w:rsidP="007B00F3">
      <w:pPr>
        <w:spacing w:line="360" w:lineRule="auto"/>
        <w:rPr>
          <w:rFonts w:ascii="David" w:hAnsi="David"/>
          <w:b/>
          <w:bCs/>
          <w:u w:val="single"/>
          <w:rtl/>
        </w:rPr>
      </w:pPr>
    </w:p>
    <w:p w:rsidR="007B00F3" w:rsidRDefault="007B00F3" w:rsidP="007B00F3">
      <w:pPr>
        <w:pStyle w:val="ae"/>
        <w:numPr>
          <w:ilvl w:val="0"/>
          <w:numId w:val="1"/>
        </w:numPr>
        <w:spacing w:after="0" w:line="360" w:lineRule="auto"/>
        <w:rPr>
          <w:rFonts w:ascii="David" w:hAnsi="David"/>
          <w:b/>
          <w:bCs/>
          <w:sz w:val="24"/>
          <w:u w:val="single"/>
          <w:rtl/>
        </w:rPr>
      </w:pPr>
      <w:r>
        <w:rPr>
          <w:rFonts w:ascii="David" w:hAnsi="David"/>
          <w:sz w:val="24"/>
          <w:rtl/>
        </w:rPr>
        <w:t>ביום 16.9.2024 פנו התובעים לנתבעת בכוונה לשתף פעולה למכירת הדירה לצד ג' לכל המרבה במחיר.</w:t>
      </w:r>
    </w:p>
    <w:p w:rsidR="007B00F3" w:rsidRDefault="007B00F3" w:rsidP="007B00F3">
      <w:pPr>
        <w:spacing w:line="360" w:lineRule="auto"/>
        <w:rPr>
          <w:rFonts w:ascii="David" w:hAnsi="David"/>
          <w:b/>
          <w:bCs/>
          <w:u w:val="single"/>
        </w:rPr>
      </w:pPr>
    </w:p>
    <w:p w:rsidR="007B00F3" w:rsidRDefault="007B00F3" w:rsidP="007B00F3">
      <w:pPr>
        <w:pStyle w:val="ae"/>
        <w:numPr>
          <w:ilvl w:val="0"/>
          <w:numId w:val="1"/>
        </w:numPr>
        <w:spacing w:after="0" w:line="360" w:lineRule="auto"/>
        <w:rPr>
          <w:rFonts w:ascii="David" w:hAnsi="David"/>
          <w:b/>
          <w:bCs/>
          <w:sz w:val="24"/>
          <w:u w:val="single"/>
        </w:rPr>
      </w:pPr>
      <w:r>
        <w:rPr>
          <w:rFonts w:ascii="David" w:hAnsi="David"/>
          <w:sz w:val="24"/>
          <w:rtl/>
        </w:rPr>
        <w:t>הנתבעת סירבה לשתף פעולה והפנתה את התובעים להגיש תביעה.</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tl/>
        </w:rPr>
      </w:pPr>
      <w:r>
        <w:rPr>
          <w:rFonts w:ascii="David" w:hAnsi="David"/>
          <w:sz w:val="24"/>
          <w:rtl/>
        </w:rPr>
        <w:t>התובעים מבקשים לממש את זכויותיהם לפירוק שיתוף בדירה, וזאת לאור סירובה של הנתבעת כאמור לשתף פעולה, שלא הותירה להם ברירה אלא להגיש תביעה זו.</w:t>
      </w:r>
    </w:p>
    <w:p w:rsidR="007B00F3" w:rsidRDefault="007B00F3" w:rsidP="007B00F3">
      <w:pPr>
        <w:pStyle w:val="ae"/>
        <w:spacing w:after="0" w:line="360" w:lineRule="auto"/>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Pr>
      </w:pPr>
      <w:r>
        <w:rPr>
          <w:rFonts w:ascii="David" w:hAnsi="David"/>
          <w:sz w:val="24"/>
          <w:rtl/>
        </w:rPr>
        <w:t xml:space="preserve">מטרת הנתבעת היא להאריך ולשבש את ההליך תוך חוסר תום לב. </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rtl/>
        </w:rPr>
      </w:pPr>
      <w:r>
        <w:rPr>
          <w:rFonts w:ascii="David" w:hAnsi="David"/>
          <w:sz w:val="24"/>
          <w:rtl/>
        </w:rPr>
        <w:t>התובעים עותרים למתן הסעדים הבאים:</w:t>
      </w:r>
    </w:p>
    <w:p w:rsidR="007B00F3" w:rsidRDefault="007B00F3" w:rsidP="007B00F3">
      <w:pPr>
        <w:pStyle w:val="ae"/>
        <w:spacing w:after="0" w:line="360" w:lineRule="auto"/>
        <w:rPr>
          <w:rFonts w:ascii="David" w:hAnsi="David"/>
          <w:sz w:val="24"/>
        </w:rPr>
      </w:pPr>
    </w:p>
    <w:p w:rsidR="007B00F3" w:rsidRDefault="007B00F3" w:rsidP="007B00F3">
      <w:pPr>
        <w:pStyle w:val="ae"/>
        <w:numPr>
          <w:ilvl w:val="0"/>
          <w:numId w:val="2"/>
        </w:numPr>
        <w:spacing w:after="0" w:line="360" w:lineRule="auto"/>
        <w:rPr>
          <w:rFonts w:ascii="David" w:hAnsi="David"/>
          <w:b/>
          <w:bCs/>
          <w:sz w:val="24"/>
          <w:u w:val="single"/>
          <w:rtl/>
        </w:rPr>
      </w:pPr>
      <w:r>
        <w:rPr>
          <w:rFonts w:ascii="David" w:hAnsi="David"/>
          <w:sz w:val="24"/>
          <w:rtl/>
        </w:rPr>
        <w:t xml:space="preserve">פירוק השיתוף בדירה, ומכירתה בשוק החופשי. </w:t>
      </w:r>
    </w:p>
    <w:p w:rsidR="007B00F3" w:rsidRDefault="007B00F3" w:rsidP="007B00F3">
      <w:pPr>
        <w:pStyle w:val="ae"/>
        <w:numPr>
          <w:ilvl w:val="0"/>
          <w:numId w:val="2"/>
        </w:numPr>
        <w:spacing w:after="0" w:line="360" w:lineRule="auto"/>
        <w:rPr>
          <w:rFonts w:ascii="David" w:hAnsi="David"/>
          <w:b/>
          <w:bCs/>
          <w:sz w:val="24"/>
          <w:u w:val="single"/>
        </w:rPr>
      </w:pPr>
      <w:r>
        <w:rPr>
          <w:rFonts w:ascii="David" w:hAnsi="David"/>
          <w:sz w:val="24"/>
          <w:rtl/>
        </w:rPr>
        <w:t>חלוקה של כספי המכר בין היורשים, בקיזוז הוצאות משפט ועלויות הכינוס מחלקה של הנתבעת.</w:t>
      </w:r>
    </w:p>
    <w:p w:rsidR="007B00F3" w:rsidRDefault="007B00F3" w:rsidP="007B00F3">
      <w:pPr>
        <w:pStyle w:val="ae"/>
        <w:numPr>
          <w:ilvl w:val="0"/>
          <w:numId w:val="2"/>
        </w:numPr>
        <w:spacing w:after="0" w:line="360" w:lineRule="auto"/>
        <w:rPr>
          <w:rFonts w:ascii="David" w:hAnsi="David"/>
          <w:b/>
          <w:bCs/>
          <w:sz w:val="24"/>
          <w:u w:val="single"/>
        </w:rPr>
      </w:pPr>
      <w:r>
        <w:rPr>
          <w:rFonts w:ascii="David" w:hAnsi="David"/>
          <w:sz w:val="24"/>
          <w:rtl/>
        </w:rPr>
        <w:t xml:space="preserve">מינוי ב"כ התובעים ככונסת נכסים, לטובת ביצוע פירוק שיתוף. </w:t>
      </w:r>
    </w:p>
    <w:p w:rsidR="007B00F3" w:rsidRDefault="007B00F3" w:rsidP="007B00F3">
      <w:pPr>
        <w:spacing w:line="360" w:lineRule="auto"/>
        <w:rPr>
          <w:rFonts w:ascii="David" w:hAnsi="David"/>
          <w:b/>
          <w:bCs/>
          <w:u w:val="single"/>
          <w:rtl/>
        </w:rPr>
      </w:pPr>
    </w:p>
    <w:p w:rsidR="007B00F3" w:rsidRDefault="007B00F3" w:rsidP="007B00F3">
      <w:pPr>
        <w:spacing w:line="360" w:lineRule="auto"/>
        <w:rPr>
          <w:rFonts w:ascii="David" w:hAnsi="David"/>
          <w:b/>
          <w:bCs/>
          <w:u w:val="single"/>
          <w:rtl/>
        </w:rPr>
      </w:pPr>
      <w:r>
        <w:rPr>
          <w:rFonts w:ascii="David" w:hAnsi="David"/>
          <w:b/>
          <w:bCs/>
          <w:u w:val="single"/>
          <w:rtl/>
        </w:rPr>
        <w:t>עיקר טענות הנתבעת</w:t>
      </w:r>
    </w:p>
    <w:p w:rsidR="007B00F3" w:rsidRDefault="007B00F3" w:rsidP="007B00F3">
      <w:pPr>
        <w:spacing w:line="360" w:lineRule="auto"/>
        <w:rPr>
          <w:rFonts w:ascii="David" w:hAnsi="David"/>
          <w:b/>
          <w:bCs/>
          <w:u w:val="single"/>
        </w:rPr>
      </w:pPr>
    </w:p>
    <w:p w:rsidR="007B00F3" w:rsidRDefault="007B00F3" w:rsidP="007B00F3">
      <w:pPr>
        <w:pStyle w:val="ae"/>
        <w:numPr>
          <w:ilvl w:val="0"/>
          <w:numId w:val="1"/>
        </w:numPr>
        <w:spacing w:after="0" w:line="360" w:lineRule="auto"/>
        <w:ind w:left="714" w:hanging="357"/>
        <w:rPr>
          <w:rFonts w:ascii="David" w:hAnsi="David"/>
          <w:b/>
          <w:bCs/>
          <w:sz w:val="24"/>
          <w:u w:val="single"/>
        </w:rPr>
      </w:pPr>
      <w:r>
        <w:rPr>
          <w:rFonts w:ascii="David" w:hAnsi="David"/>
          <w:sz w:val="24"/>
          <w:rtl/>
        </w:rPr>
        <w:t>יש לדחות את התביעה ולמנות את עוה"ד גולזנר ככונס נכסים לצורך השבחת הדירה ומכירתה לאחר מכן.</w:t>
      </w:r>
    </w:p>
    <w:p w:rsidR="007B00F3" w:rsidRDefault="007B00F3" w:rsidP="007B00F3">
      <w:pPr>
        <w:pStyle w:val="ae"/>
        <w:spacing w:after="0" w:line="360" w:lineRule="auto"/>
        <w:ind w:left="714"/>
        <w:rPr>
          <w:rFonts w:ascii="David" w:hAnsi="David"/>
          <w:b/>
          <w:bCs/>
          <w:sz w:val="24"/>
          <w:u w:val="single"/>
        </w:rPr>
      </w:pPr>
    </w:p>
    <w:p w:rsidR="007B00F3" w:rsidRDefault="007B00F3" w:rsidP="007B00F3">
      <w:pPr>
        <w:pStyle w:val="ae"/>
        <w:numPr>
          <w:ilvl w:val="0"/>
          <w:numId w:val="1"/>
        </w:numPr>
        <w:spacing w:after="0" w:line="360" w:lineRule="auto"/>
        <w:ind w:left="714" w:hanging="357"/>
        <w:rPr>
          <w:rFonts w:ascii="David" w:hAnsi="David"/>
          <w:b/>
          <w:bCs/>
          <w:sz w:val="24"/>
          <w:u w:val="single"/>
        </w:rPr>
      </w:pPr>
      <w:r>
        <w:rPr>
          <w:rFonts w:ascii="David" w:hAnsi="David"/>
          <w:sz w:val="24"/>
          <w:rtl/>
        </w:rPr>
        <w:t>שטח הדירה הבנוי והרשום בטאבו הינו 37 מ"ר.</w:t>
      </w:r>
    </w:p>
    <w:p w:rsidR="007B00F3" w:rsidRDefault="007B00F3" w:rsidP="007B00F3">
      <w:pPr>
        <w:pStyle w:val="ae"/>
        <w:rPr>
          <w:rFonts w:ascii="David" w:hAnsi="David"/>
          <w:b/>
          <w:bCs/>
          <w:sz w:val="24"/>
          <w:u w:val="single"/>
        </w:rPr>
      </w:pPr>
    </w:p>
    <w:p w:rsidR="007B00F3" w:rsidRDefault="007B00F3" w:rsidP="00282C1B">
      <w:pPr>
        <w:pStyle w:val="ae"/>
        <w:numPr>
          <w:ilvl w:val="0"/>
          <w:numId w:val="1"/>
        </w:numPr>
        <w:spacing w:after="0" w:line="360" w:lineRule="auto"/>
        <w:rPr>
          <w:rFonts w:ascii="David" w:hAnsi="David"/>
          <w:sz w:val="24"/>
          <w:rtl/>
        </w:rPr>
      </w:pPr>
      <w:r>
        <w:rPr>
          <w:rFonts w:ascii="David" w:hAnsi="David"/>
          <w:sz w:val="24"/>
          <w:rtl/>
        </w:rPr>
        <w:t xml:space="preserve">שטח הדירה של תת חלקה </w:t>
      </w:r>
      <w:r w:rsidR="00282C1B">
        <w:rPr>
          <w:rFonts w:ascii="David" w:hAnsi="David" w:hint="cs"/>
          <w:sz w:val="24"/>
        </w:rPr>
        <w:t>XX</w:t>
      </w:r>
      <w:r>
        <w:rPr>
          <w:rFonts w:ascii="David" w:hAnsi="David"/>
          <w:sz w:val="24"/>
          <w:rtl/>
        </w:rPr>
        <w:t xml:space="preserve"> בחלקה </w:t>
      </w:r>
      <w:r w:rsidR="00282C1B">
        <w:rPr>
          <w:rFonts w:ascii="David" w:hAnsi="David" w:hint="cs"/>
          <w:sz w:val="24"/>
        </w:rPr>
        <w:t>XXX</w:t>
      </w:r>
      <w:r>
        <w:rPr>
          <w:rFonts w:ascii="David" w:hAnsi="David"/>
          <w:sz w:val="24"/>
          <w:rtl/>
        </w:rPr>
        <w:t xml:space="preserve"> </w:t>
      </w:r>
      <w:r w:rsidR="00282C1B">
        <w:rPr>
          <w:rFonts w:ascii="David" w:hAnsi="David" w:hint="cs"/>
          <w:sz w:val="24"/>
          <w:rtl/>
        </w:rPr>
        <w:t xml:space="preserve">בגוש </w:t>
      </w:r>
      <w:r w:rsidR="00282C1B">
        <w:rPr>
          <w:rFonts w:ascii="David" w:hAnsi="David" w:hint="cs"/>
          <w:sz w:val="24"/>
        </w:rPr>
        <w:t>XXXX</w:t>
      </w:r>
      <w:r w:rsidR="00282C1B">
        <w:rPr>
          <w:rFonts w:ascii="David" w:hAnsi="David"/>
          <w:sz w:val="24"/>
        </w:rPr>
        <w:t>X</w:t>
      </w:r>
      <w:r w:rsidR="00282C1B">
        <w:rPr>
          <w:rFonts w:ascii="David" w:hAnsi="David" w:hint="cs"/>
          <w:sz w:val="24"/>
        </w:rPr>
        <w:t xml:space="preserve"> </w:t>
      </w:r>
      <w:r w:rsidR="00282C1B">
        <w:rPr>
          <w:rFonts w:ascii="David" w:hAnsi="David" w:hint="cs"/>
          <w:sz w:val="24"/>
          <w:rtl/>
        </w:rPr>
        <w:t xml:space="preserve"> </w:t>
      </w:r>
      <w:r>
        <w:rPr>
          <w:rFonts w:ascii="David" w:hAnsi="David"/>
          <w:sz w:val="24"/>
          <w:rtl/>
        </w:rPr>
        <w:t>רשום בטאבו כ-30 מ"ר ומהדיווח לרשויות המס נמצא כי דירה זו נמכרה ביום 31.12.23 תמורת סך של 3.9 מיליון ₪ (מחיר מ"ר – 44,827 ₪).</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ind w:left="714" w:hanging="357"/>
        <w:rPr>
          <w:rFonts w:ascii="David" w:hAnsi="David"/>
          <w:sz w:val="24"/>
          <w:rtl/>
        </w:rPr>
      </w:pPr>
      <w:r>
        <w:rPr>
          <w:rFonts w:ascii="David" w:hAnsi="David"/>
          <w:sz w:val="24"/>
          <w:rtl/>
        </w:rPr>
        <w:lastRenderedPageBreak/>
        <w:t>בסמוך לפטירת המנוחה, המשיבים פרצו לדירה, השתלטו עליה, מנעו את השכרתה והשבחתה וגרמו נזק מצטבר של מאות אלפי ₪.</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בהסתמך על נתוני הבנייה בדירה דומה, המצויה בקומה מתחת לדירה ואשר עתידה לקבל היתר בחודש דצמבר 2024, הדירה יכולה להסתכם לאחר הבניה לשטר של 100 מ"ר.</w:t>
      </w:r>
    </w:p>
    <w:p w:rsidR="007B00F3" w:rsidRDefault="007B00F3" w:rsidP="007B00F3">
      <w:pPr>
        <w:pStyle w:val="ae"/>
        <w:spacing w:after="0"/>
        <w:rPr>
          <w:rFonts w:ascii="David" w:hAnsi="David"/>
          <w:sz w:val="24"/>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עלות הבנייה יכולה להסתכם בסך של 210,000 ₪ ופרק הזמן הדרוש לביצוע העבודה הינו עד 30 ימים בסך הכל.</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מכירה של הדירה לאלתר תביא לחיוב במס שבח של מכירת זכויות בניה שלא מומשו. נתון אשר הוסתר מעיניו של בית המשפט ולא הוזכר על ידי התובעים בכתב התביעה.</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ind w:left="714" w:hanging="357"/>
        <w:rPr>
          <w:rFonts w:ascii="David" w:hAnsi="David"/>
          <w:sz w:val="24"/>
          <w:rtl/>
        </w:rPr>
      </w:pPr>
      <w:r>
        <w:rPr>
          <w:rFonts w:ascii="David" w:hAnsi="David"/>
          <w:sz w:val="24"/>
          <w:rtl/>
        </w:rPr>
        <w:t xml:space="preserve">פסק הדין [בגדרו נדחתה התנגדות לצוואת המנוחה שהגישה הנתבעת ואביה – פ"ג] אינו חלוט. </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ind w:left="714" w:hanging="357"/>
        <w:rPr>
          <w:rFonts w:ascii="David" w:hAnsi="David"/>
          <w:sz w:val="24"/>
          <w:rtl/>
        </w:rPr>
      </w:pPr>
      <w:r>
        <w:rPr>
          <w:rFonts w:ascii="David" w:hAnsi="David"/>
          <w:sz w:val="24"/>
          <w:rtl/>
        </w:rPr>
        <w:t xml:space="preserve">התובעים מתנהלים בחוסר תום לב, בכך שהם מעכבים במודע ובזדון את קידום עניינם. </w:t>
      </w:r>
    </w:p>
    <w:p w:rsidR="007B00F3" w:rsidRDefault="007B00F3" w:rsidP="007B00F3">
      <w:pPr>
        <w:pStyle w:val="ae"/>
        <w:spacing w:after="0" w:line="360" w:lineRule="auto"/>
        <w:ind w:left="714"/>
        <w:rPr>
          <w:rFonts w:ascii="David" w:hAnsi="David"/>
          <w:sz w:val="24"/>
        </w:rPr>
      </w:pPr>
    </w:p>
    <w:p w:rsidR="007B00F3" w:rsidRDefault="007B00F3" w:rsidP="007B00F3">
      <w:pPr>
        <w:pStyle w:val="ae"/>
        <w:numPr>
          <w:ilvl w:val="0"/>
          <w:numId w:val="1"/>
        </w:numPr>
        <w:spacing w:after="0" w:line="360" w:lineRule="auto"/>
        <w:ind w:left="714" w:hanging="357"/>
        <w:rPr>
          <w:rFonts w:ascii="David" w:hAnsi="David"/>
          <w:sz w:val="24"/>
          <w:rtl/>
        </w:rPr>
      </w:pPr>
      <w:r>
        <w:rPr>
          <w:rFonts w:ascii="David" w:hAnsi="David"/>
          <w:sz w:val="24"/>
          <w:rtl/>
        </w:rPr>
        <w:t xml:space="preserve">אין למנות את ב"כ התובעים ככונסת נכסים, הן משום שלא ניתנו נימוקים מספקים לכך והן משום שלא ניתן פירוט על אודות ניסיונה בתחום זה.   </w:t>
      </w:r>
    </w:p>
    <w:p w:rsidR="007B00F3" w:rsidRDefault="007B00F3" w:rsidP="007B00F3">
      <w:pPr>
        <w:pStyle w:val="ae"/>
        <w:spacing w:after="0" w:line="360" w:lineRule="auto"/>
        <w:ind w:left="714"/>
        <w:rPr>
          <w:rFonts w:ascii="David" w:hAnsi="David"/>
          <w:sz w:val="24"/>
        </w:rPr>
      </w:pPr>
    </w:p>
    <w:p w:rsidR="007B00F3" w:rsidRDefault="007B00F3" w:rsidP="00282C1B">
      <w:pPr>
        <w:pStyle w:val="ae"/>
        <w:numPr>
          <w:ilvl w:val="0"/>
          <w:numId w:val="1"/>
        </w:numPr>
        <w:spacing w:after="0" w:line="360" w:lineRule="auto"/>
        <w:ind w:left="714" w:hanging="357"/>
        <w:rPr>
          <w:rFonts w:ascii="David" w:hAnsi="David"/>
          <w:b/>
          <w:bCs/>
          <w:sz w:val="24"/>
          <w:u w:val="single"/>
          <w:rtl/>
        </w:rPr>
      </w:pPr>
      <w:r>
        <w:rPr>
          <w:rFonts w:ascii="David" w:hAnsi="David"/>
          <w:sz w:val="24"/>
          <w:rtl/>
        </w:rPr>
        <w:t xml:space="preserve">יש למנות את עוה"ד </w:t>
      </w:r>
      <w:r w:rsidR="00282C1B">
        <w:rPr>
          <w:rFonts w:ascii="David" w:hAnsi="David" w:hint="cs"/>
          <w:sz w:val="24"/>
          <w:rtl/>
        </w:rPr>
        <w:t>ג'</w:t>
      </w:r>
      <w:r>
        <w:rPr>
          <w:rFonts w:ascii="David" w:hAnsi="David"/>
          <w:sz w:val="24"/>
          <w:rtl/>
        </w:rPr>
        <w:t xml:space="preserve"> ככונס נכסים לצורך השבחת הדירה ומכירתה לאחר ההשבחה. לאור העובדה שעוה"ד ג</w:t>
      </w:r>
      <w:r w:rsidR="00282C1B">
        <w:rPr>
          <w:rFonts w:ascii="David" w:hAnsi="David" w:hint="cs"/>
          <w:sz w:val="24"/>
          <w:rtl/>
        </w:rPr>
        <w:t>'</w:t>
      </w:r>
      <w:r>
        <w:rPr>
          <w:rFonts w:ascii="David" w:hAnsi="David"/>
          <w:sz w:val="24"/>
          <w:rtl/>
        </w:rPr>
        <w:t xml:space="preserve"> התגורר בילדותו בסמוך לדירה, יש לו היכרות עם השכונה, ויש לו גם ניסיון ככונס נכסים.</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ind w:left="714" w:hanging="357"/>
        <w:rPr>
          <w:rFonts w:ascii="David" w:hAnsi="David"/>
          <w:b/>
          <w:bCs/>
          <w:sz w:val="24"/>
          <w:u w:val="single"/>
          <w:rtl/>
        </w:rPr>
      </w:pPr>
      <w:r>
        <w:rPr>
          <w:rFonts w:ascii="David" w:hAnsi="David"/>
          <w:sz w:val="24"/>
          <w:rtl/>
        </w:rPr>
        <w:t>הנתבעת הציעה לתובעים למנות שמאי על מנת לקדם את זכויותיה, וכן להפקיד ערובה בסך 1,500,000 ₪, אך התובעים לא השיבו להצעות.</w:t>
      </w:r>
    </w:p>
    <w:p w:rsidR="007B00F3" w:rsidRDefault="007B00F3" w:rsidP="007B00F3">
      <w:pPr>
        <w:spacing w:line="360" w:lineRule="auto"/>
        <w:rPr>
          <w:rFonts w:ascii="David" w:hAnsi="David"/>
          <w:b/>
          <w:bCs/>
          <w:u w:val="single"/>
        </w:rPr>
      </w:pPr>
    </w:p>
    <w:p w:rsidR="007B00F3" w:rsidRDefault="007B00F3" w:rsidP="007B00F3">
      <w:pPr>
        <w:spacing w:line="360" w:lineRule="auto"/>
        <w:rPr>
          <w:rFonts w:ascii="David" w:hAnsi="David"/>
          <w:b/>
          <w:bCs/>
          <w:u w:val="single"/>
          <w:rtl/>
        </w:rPr>
      </w:pPr>
      <w:r>
        <w:rPr>
          <w:rFonts w:ascii="David" w:hAnsi="David"/>
          <w:b/>
          <w:bCs/>
          <w:u w:val="single"/>
          <w:rtl/>
        </w:rPr>
        <w:t>דיון מיום 18.11.24</w:t>
      </w:r>
    </w:p>
    <w:p w:rsidR="007B00F3" w:rsidRDefault="007B00F3" w:rsidP="007B00F3">
      <w:pPr>
        <w:spacing w:line="360" w:lineRule="auto"/>
        <w:rPr>
          <w:rFonts w:ascii="David" w:hAnsi="David"/>
          <w:b/>
          <w:bCs/>
          <w:u w:val="single"/>
          <w:rtl/>
        </w:rPr>
      </w:pPr>
    </w:p>
    <w:p w:rsidR="007B00F3" w:rsidRDefault="007B00F3" w:rsidP="007B00F3">
      <w:pPr>
        <w:pStyle w:val="ae"/>
        <w:numPr>
          <w:ilvl w:val="0"/>
          <w:numId w:val="1"/>
        </w:numPr>
        <w:spacing w:after="0" w:line="360" w:lineRule="auto"/>
        <w:rPr>
          <w:rFonts w:ascii="David" w:hAnsi="David"/>
          <w:b/>
          <w:bCs/>
          <w:sz w:val="24"/>
          <w:u w:val="single"/>
        </w:rPr>
      </w:pPr>
      <w:r>
        <w:rPr>
          <w:rFonts w:ascii="David" w:hAnsi="David"/>
          <w:sz w:val="24"/>
          <w:rtl/>
        </w:rPr>
        <w:t>לאחר הגשת כתב הגנה נקבע דיון ליום 18.11.24 (להלן: "</w:t>
      </w:r>
      <w:r>
        <w:rPr>
          <w:rFonts w:ascii="David" w:hAnsi="David"/>
          <w:b/>
          <w:bCs/>
          <w:sz w:val="24"/>
          <w:rtl/>
        </w:rPr>
        <w:t>הדיון</w:t>
      </w:r>
      <w:r>
        <w:rPr>
          <w:rFonts w:ascii="David" w:hAnsi="David"/>
          <w:sz w:val="24"/>
          <w:rtl/>
        </w:rPr>
        <w:t>").</w:t>
      </w:r>
      <w:r>
        <w:rPr>
          <w:rFonts w:ascii="David" w:hAnsi="David"/>
          <w:b/>
          <w:bCs/>
          <w:sz w:val="24"/>
          <w:u w:val="single"/>
          <w:rtl/>
        </w:rPr>
        <w:t xml:space="preserve"> </w:t>
      </w:r>
    </w:p>
    <w:p w:rsidR="007B00F3" w:rsidRDefault="007B00F3" w:rsidP="007B00F3">
      <w:pPr>
        <w:spacing w:line="360" w:lineRule="auto"/>
        <w:rPr>
          <w:rFonts w:ascii="David" w:hAnsi="David"/>
          <w:b/>
          <w:bCs/>
          <w:u w:val="single"/>
        </w:rPr>
      </w:pPr>
    </w:p>
    <w:p w:rsidR="007B00F3" w:rsidRDefault="007B00F3" w:rsidP="007B00F3">
      <w:pPr>
        <w:pStyle w:val="ae"/>
        <w:numPr>
          <w:ilvl w:val="0"/>
          <w:numId w:val="1"/>
        </w:numPr>
        <w:spacing w:after="0" w:line="360" w:lineRule="auto"/>
        <w:rPr>
          <w:rFonts w:ascii="David" w:hAnsi="David"/>
          <w:b/>
          <w:bCs/>
          <w:sz w:val="24"/>
          <w:u w:val="single"/>
        </w:rPr>
      </w:pPr>
      <w:r>
        <w:rPr>
          <w:rFonts w:ascii="David" w:hAnsi="David"/>
          <w:sz w:val="24"/>
          <w:rtl/>
        </w:rPr>
        <w:t xml:space="preserve">בדיון נשאלו הנתבעים האם ישנה הסכמה להשביח את הדירה, ואלה השיבו בסירוב גורף, הן בשל היעדר יכולת כלכלית לביצוע ההשבחה והן לאור טיב היחסים בין הצדדים </w:t>
      </w:r>
      <w:r>
        <w:rPr>
          <w:rFonts w:ascii="David" w:hAnsi="David"/>
          <w:b/>
          <w:bCs/>
          <w:sz w:val="24"/>
          <w:rtl/>
        </w:rPr>
        <w:t>ראו: פרוט' עמ' 1 ש' 9-12</w:t>
      </w:r>
      <w:r>
        <w:rPr>
          <w:rFonts w:ascii="David" w:hAnsi="David"/>
          <w:sz w:val="24"/>
          <w:rtl/>
        </w:rPr>
        <w:t>.</w:t>
      </w:r>
    </w:p>
    <w:p w:rsidR="007B00F3" w:rsidRDefault="007B00F3" w:rsidP="007B00F3">
      <w:pPr>
        <w:pStyle w:val="ae"/>
        <w:rPr>
          <w:rFonts w:ascii="David" w:hAnsi="David"/>
          <w:b/>
          <w:bCs/>
          <w:sz w:val="24"/>
          <w:u w:val="single"/>
        </w:rPr>
      </w:pPr>
    </w:p>
    <w:p w:rsidR="007B00F3" w:rsidRDefault="007B00F3" w:rsidP="00282C1B">
      <w:pPr>
        <w:pStyle w:val="ae"/>
        <w:numPr>
          <w:ilvl w:val="0"/>
          <w:numId w:val="1"/>
        </w:numPr>
        <w:spacing w:after="0" w:line="360" w:lineRule="auto"/>
        <w:rPr>
          <w:rFonts w:ascii="David" w:hAnsi="David"/>
          <w:b/>
          <w:bCs/>
          <w:sz w:val="24"/>
          <w:u w:val="single"/>
          <w:rtl/>
        </w:rPr>
      </w:pPr>
      <w:r>
        <w:rPr>
          <w:rFonts w:ascii="David" w:hAnsi="David"/>
          <w:sz w:val="24"/>
          <w:rtl/>
        </w:rPr>
        <w:lastRenderedPageBreak/>
        <w:t xml:space="preserve">לאור עמדת התובעים בעניין השבחת הדירה, הנתבעת ביקשה להתייעץ האב </w:t>
      </w:r>
      <w:r>
        <w:rPr>
          <w:rFonts w:ascii="David" w:hAnsi="David"/>
          <w:b/>
          <w:bCs/>
          <w:sz w:val="24"/>
          <w:rtl/>
        </w:rPr>
        <w:t xml:space="preserve">ראו: פרוט' עמ' 1 ש' 20 </w:t>
      </w:r>
      <w:r>
        <w:rPr>
          <w:rFonts w:ascii="David" w:hAnsi="David"/>
          <w:sz w:val="24"/>
          <w:rtl/>
        </w:rPr>
        <w:t>שבתומה ביקשה למנות את עוה"ד ג</w:t>
      </w:r>
      <w:r w:rsidR="00282C1B">
        <w:rPr>
          <w:rFonts w:ascii="David" w:hAnsi="David" w:hint="cs"/>
          <w:sz w:val="24"/>
          <w:rtl/>
        </w:rPr>
        <w:t>'</w:t>
      </w:r>
      <w:r>
        <w:rPr>
          <w:rFonts w:ascii="David" w:hAnsi="David"/>
          <w:sz w:val="24"/>
          <w:rtl/>
        </w:rPr>
        <w:t xml:space="preserve"> [בפרוט' הדיון נכתב בשגגה "גולן זר" – פ"ג] ככונס נכסים, בין היתר גם לצורך השבחת הדירה.</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tl/>
        </w:rPr>
      </w:pPr>
      <w:r>
        <w:rPr>
          <w:rFonts w:ascii="David" w:hAnsi="David"/>
          <w:sz w:val="24"/>
          <w:rtl/>
        </w:rPr>
        <w:t xml:space="preserve">ב"כ התובעים ביקשה להתמנות ככונסת נכסים לצורך מכירת הדירה, לאור העובדה כי הנתבעים אוחזים במרבית הזכויות שבה </w:t>
      </w:r>
      <w:r>
        <w:rPr>
          <w:rFonts w:ascii="David" w:hAnsi="David"/>
          <w:b/>
          <w:bCs/>
          <w:sz w:val="24"/>
          <w:rtl/>
        </w:rPr>
        <w:t>ראו: פרוט' עמ' 2 ש' 16-19</w:t>
      </w:r>
      <w:r>
        <w:rPr>
          <w:rFonts w:ascii="David" w:hAnsi="David"/>
          <w:sz w:val="24"/>
          <w:rtl/>
        </w:rPr>
        <w:t>.</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b/>
          <w:bCs/>
          <w:sz w:val="24"/>
          <w:u w:val="single"/>
          <w:rtl/>
        </w:rPr>
      </w:pPr>
      <w:r>
        <w:rPr>
          <w:rFonts w:ascii="David" w:hAnsi="David"/>
          <w:sz w:val="24"/>
          <w:rtl/>
        </w:rPr>
        <w:t xml:space="preserve">הנתבעת התנגדה, מטעמיה, למינוי ב"כ התובעים ככונסת נכסים </w:t>
      </w:r>
      <w:r>
        <w:rPr>
          <w:rFonts w:ascii="David" w:hAnsi="David"/>
          <w:b/>
          <w:bCs/>
          <w:sz w:val="24"/>
          <w:rtl/>
        </w:rPr>
        <w:t>ראו: פרוט' עמ' 2 ש 21-22</w:t>
      </w:r>
      <w:r>
        <w:rPr>
          <w:rFonts w:ascii="David" w:hAnsi="David"/>
          <w:sz w:val="24"/>
          <w:rtl/>
        </w:rPr>
        <w:t>.</w:t>
      </w:r>
    </w:p>
    <w:p w:rsidR="007B00F3" w:rsidRDefault="007B00F3" w:rsidP="007B00F3">
      <w:pPr>
        <w:pStyle w:val="ae"/>
        <w:rPr>
          <w:rFonts w:ascii="David" w:hAnsi="David"/>
          <w:b/>
          <w:bCs/>
          <w:sz w:val="24"/>
          <w:u w:val="single"/>
        </w:rPr>
      </w:pPr>
    </w:p>
    <w:p w:rsidR="007B00F3" w:rsidRDefault="007B00F3" w:rsidP="007B00F3">
      <w:pPr>
        <w:spacing w:line="360" w:lineRule="auto"/>
        <w:rPr>
          <w:rFonts w:ascii="David" w:hAnsi="David"/>
          <w:b/>
          <w:bCs/>
          <w:u w:val="single"/>
          <w:rtl/>
        </w:rPr>
      </w:pPr>
      <w:r>
        <w:rPr>
          <w:rFonts w:ascii="David" w:hAnsi="David"/>
          <w:b/>
          <w:bCs/>
          <w:u w:val="single"/>
          <w:rtl/>
        </w:rPr>
        <w:t>הערה דיונית</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 xml:space="preserve">כידוע, החלטה לפירוק שיתוף הינה החלטת ביניים ולא פסק דין </w:t>
      </w:r>
      <w:r>
        <w:rPr>
          <w:rFonts w:ascii="David" w:hAnsi="David"/>
          <w:b/>
          <w:bCs/>
          <w:sz w:val="24"/>
          <w:rtl/>
        </w:rPr>
        <w:t>ראו</w:t>
      </w:r>
      <w:r>
        <w:rPr>
          <w:rFonts w:ascii="David" w:hAnsi="David"/>
          <w:sz w:val="24"/>
          <w:rtl/>
        </w:rPr>
        <w:t>:</w:t>
      </w:r>
      <w:r>
        <w:rPr>
          <w:rFonts w:ascii="David" w:hAnsi="David"/>
          <w:b/>
          <w:bCs/>
          <w:sz w:val="24"/>
          <w:rtl/>
        </w:rPr>
        <w:t xml:space="preserve"> רע"א 77077-01-23 מלון מרינה תל אביב בעמ נ' עיריית תל-אביב-יפו</w:t>
      </w:r>
      <w:r>
        <w:rPr>
          <w:rFonts w:ascii="David" w:hAnsi="David"/>
          <w:sz w:val="24"/>
          <w:rtl/>
        </w:rPr>
        <w:t xml:space="preserve"> (20.04.2023). בתוך כך, אין מניעה ליתן החלטה זו לאחר קיום קדם משפט, על אף שבמסגרתה ניתן הסעד העיקרי מושא כתב התביעה. </w:t>
      </w:r>
    </w:p>
    <w:p w:rsidR="007B00F3" w:rsidRDefault="007B00F3" w:rsidP="007B00F3">
      <w:pPr>
        <w:spacing w:line="360" w:lineRule="auto"/>
        <w:rPr>
          <w:rFonts w:ascii="David" w:hAnsi="David"/>
          <w:b/>
          <w:bCs/>
          <w:u w:val="single"/>
        </w:rPr>
      </w:pPr>
    </w:p>
    <w:p w:rsidR="007B00F3" w:rsidRDefault="007B00F3" w:rsidP="007B00F3">
      <w:pPr>
        <w:spacing w:line="360" w:lineRule="auto"/>
        <w:rPr>
          <w:rFonts w:ascii="David" w:hAnsi="David"/>
          <w:b/>
          <w:bCs/>
          <w:u w:val="single"/>
          <w:rtl/>
        </w:rPr>
      </w:pPr>
      <w:r>
        <w:rPr>
          <w:rFonts w:ascii="David" w:hAnsi="David"/>
          <w:b/>
          <w:bCs/>
          <w:u w:val="single"/>
          <w:rtl/>
        </w:rPr>
        <w:t xml:space="preserve">הכרעה </w:t>
      </w:r>
    </w:p>
    <w:p w:rsidR="007B00F3" w:rsidRDefault="007B00F3" w:rsidP="007B00F3">
      <w:pPr>
        <w:pStyle w:val="ae"/>
        <w:rPr>
          <w:rFonts w:ascii="David" w:hAnsi="David"/>
          <w:b/>
          <w:bCs/>
          <w:sz w:val="24"/>
          <w:u w:val="single"/>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 xml:space="preserve">לאחר עיון בעמדות הצדדים, הגעתי למסקנה כי </w:t>
      </w:r>
      <w:r w:rsidR="00282C1B">
        <w:rPr>
          <w:rFonts w:ascii="David" w:hAnsi="David" w:hint="cs"/>
          <w:sz w:val="24"/>
          <w:rtl/>
        </w:rPr>
        <w:t xml:space="preserve">יש </w:t>
      </w:r>
      <w:r>
        <w:rPr>
          <w:rFonts w:ascii="David" w:hAnsi="David"/>
          <w:sz w:val="24"/>
          <w:rtl/>
        </w:rPr>
        <w:t>לקבל את עתירת התובעים בכל הנוגע לפירוק שיתוף הדירה.</w:t>
      </w:r>
    </w:p>
    <w:p w:rsidR="007B00F3" w:rsidRDefault="007B00F3" w:rsidP="007B00F3">
      <w:pPr>
        <w:pStyle w:val="ae"/>
        <w:spacing w:after="0" w:line="360" w:lineRule="auto"/>
        <w:rPr>
          <w:rFonts w:ascii="David" w:hAnsi="David"/>
          <w:sz w:val="24"/>
        </w:rPr>
      </w:pPr>
    </w:p>
    <w:p w:rsidR="007B00F3" w:rsidRDefault="007B00F3" w:rsidP="007B00F3">
      <w:pPr>
        <w:pStyle w:val="ae"/>
        <w:numPr>
          <w:ilvl w:val="0"/>
          <w:numId w:val="1"/>
        </w:numPr>
        <w:spacing w:after="0" w:line="360" w:lineRule="auto"/>
        <w:rPr>
          <w:rFonts w:ascii="David" w:hAnsi="David"/>
          <w:sz w:val="24"/>
        </w:rPr>
      </w:pPr>
      <w:r>
        <w:rPr>
          <w:rFonts w:ascii="David" w:hAnsi="David"/>
          <w:sz w:val="24"/>
          <w:rtl/>
        </w:rPr>
        <w:t>סעיף 37(א) לחוק המקרקעין התשכ"ט-1969 (להלן: "</w:t>
      </w:r>
      <w:r>
        <w:rPr>
          <w:rFonts w:ascii="David" w:hAnsi="David"/>
          <w:b/>
          <w:bCs/>
          <w:sz w:val="24"/>
          <w:rtl/>
        </w:rPr>
        <w:t>חוק המקרקעין</w:t>
      </w:r>
      <w:r>
        <w:rPr>
          <w:rFonts w:ascii="David" w:hAnsi="David"/>
          <w:sz w:val="24"/>
          <w:rtl/>
        </w:rPr>
        <w:t>") קובע:</w:t>
      </w:r>
    </w:p>
    <w:p w:rsidR="007B00F3" w:rsidRDefault="007B00F3" w:rsidP="007B00F3">
      <w:pPr>
        <w:spacing w:line="360" w:lineRule="auto"/>
        <w:rPr>
          <w:rFonts w:ascii="David" w:hAnsi="David"/>
          <w:color w:val="000000"/>
          <w:shd w:val="clear" w:color="auto" w:fill="FFFFFF"/>
        </w:rPr>
      </w:pPr>
    </w:p>
    <w:p w:rsidR="007B00F3" w:rsidRDefault="007B00F3" w:rsidP="007B00F3">
      <w:pPr>
        <w:spacing w:line="360" w:lineRule="auto"/>
        <w:ind w:left="1076" w:hanging="992"/>
        <w:jc w:val="center"/>
        <w:rPr>
          <w:rFonts w:ascii="David" w:hAnsi="David"/>
          <w:b/>
          <w:bCs/>
          <w:rtl/>
        </w:rPr>
      </w:pPr>
      <w:r>
        <w:rPr>
          <w:rFonts w:ascii="David" w:hAnsi="David"/>
          <w:b/>
          <w:bCs/>
          <w:color w:val="000000"/>
          <w:shd w:val="clear" w:color="auto" w:fill="FFFFFF"/>
          <w:rtl/>
        </w:rPr>
        <w:t>"כל שותף במקרקעין משותפים זכאי בכל עת לדרוש פירוק השיתוף"</w:t>
      </w:r>
    </w:p>
    <w:p w:rsidR="007B00F3" w:rsidRDefault="007B00F3" w:rsidP="007B00F3">
      <w:pPr>
        <w:spacing w:line="360" w:lineRule="auto"/>
        <w:rPr>
          <w:rFonts w:ascii="David" w:hAnsi="David"/>
          <w:rtl/>
        </w:rPr>
      </w:pPr>
    </w:p>
    <w:p w:rsidR="007B00F3" w:rsidRDefault="007B00F3" w:rsidP="007B00F3">
      <w:pPr>
        <w:pStyle w:val="ae"/>
        <w:numPr>
          <w:ilvl w:val="0"/>
          <w:numId w:val="1"/>
        </w:numPr>
        <w:spacing w:after="0" w:line="360" w:lineRule="auto"/>
        <w:rPr>
          <w:rFonts w:ascii="David" w:hAnsi="David"/>
          <w:sz w:val="24"/>
        </w:rPr>
      </w:pPr>
      <w:r w:rsidRPr="007B00F3">
        <w:rPr>
          <w:rFonts w:ascii="David" w:hAnsi="David"/>
          <w:sz w:val="24"/>
          <w:rtl/>
        </w:rPr>
        <w:t>עיקרון העל ב</w:t>
      </w:r>
      <w:hyperlink r:id="rId10" w:history="1">
        <w:r w:rsidRPr="007B00F3">
          <w:rPr>
            <w:rStyle w:val="Hyperlink"/>
            <w:rFonts w:ascii="David" w:hAnsi="David" w:hint="cs"/>
            <w:color w:val="auto"/>
            <w:sz w:val="24"/>
            <w:u w:val="none"/>
            <w:rtl/>
          </w:rPr>
          <w:t>סעיף 37</w:t>
        </w:r>
      </w:hyperlink>
      <w:r w:rsidRPr="007B00F3">
        <w:rPr>
          <w:rFonts w:ascii="David" w:hAnsi="David" w:hint="cs"/>
          <w:sz w:val="24"/>
          <w:rtl/>
        </w:rPr>
        <w:t xml:space="preserve"> לחוק המקרקעין מעניק אוטונומיה אישית לכל שותף לעתור לפירוק שיתוף בכל עת בכפוף לחריגים (שאינם מתקיימים בענייננו) </w:t>
      </w:r>
      <w:r w:rsidRPr="007B00F3">
        <w:rPr>
          <w:rFonts w:ascii="David" w:hAnsi="David" w:hint="cs"/>
          <w:b/>
          <w:bCs/>
          <w:sz w:val="24"/>
          <w:rtl/>
        </w:rPr>
        <w:t>ראו</w:t>
      </w:r>
      <w:r w:rsidRPr="007B00F3">
        <w:rPr>
          <w:rFonts w:ascii="David" w:hAnsi="David" w:hint="cs"/>
          <w:sz w:val="24"/>
          <w:rtl/>
        </w:rPr>
        <w:t xml:space="preserve">: </w:t>
      </w:r>
      <w:hyperlink r:id="rId11" w:history="1">
        <w:r w:rsidRPr="007B00F3">
          <w:rPr>
            <w:rStyle w:val="Hyperlink"/>
            <w:rFonts w:ascii="David" w:hAnsi="David" w:hint="cs"/>
            <w:color w:val="auto"/>
            <w:sz w:val="24"/>
            <w:u w:val="none"/>
            <w:rtl/>
          </w:rPr>
          <w:t>רע"א 1017/97</w:t>
        </w:r>
      </w:hyperlink>
      <w:r w:rsidRPr="007B00F3">
        <w:rPr>
          <w:rFonts w:ascii="David" w:hAnsi="David"/>
          <w:sz w:val="24"/>
          <w:rtl/>
        </w:rPr>
        <w:t xml:space="preserve"> </w:t>
      </w:r>
      <w:r w:rsidRPr="007B00F3">
        <w:rPr>
          <w:rFonts w:ascii="David" w:hAnsi="David" w:hint="cs"/>
          <w:b/>
          <w:bCs/>
          <w:sz w:val="24"/>
          <w:rtl/>
        </w:rPr>
        <w:t xml:space="preserve">יצחק </w:t>
      </w:r>
      <w:r>
        <w:rPr>
          <w:rFonts w:ascii="David" w:hAnsi="David" w:hint="cs"/>
          <w:b/>
          <w:bCs/>
          <w:sz w:val="24"/>
          <w:rtl/>
        </w:rPr>
        <w:t xml:space="preserve">רידלביץ' ואח' נ' יצחק מודעי ואח' </w:t>
      </w:r>
      <w:r>
        <w:rPr>
          <w:rFonts w:ascii="David" w:hAnsi="David" w:hint="cs"/>
          <w:sz w:val="24"/>
          <w:rtl/>
        </w:rPr>
        <w:t xml:space="preserve">(25.10.1998); תמ"ש 56351-02-19 </w:t>
      </w:r>
      <w:r>
        <w:rPr>
          <w:rFonts w:ascii="David" w:hAnsi="David" w:hint="cs"/>
          <w:b/>
          <w:bCs/>
          <w:sz w:val="24"/>
          <w:rtl/>
        </w:rPr>
        <w:t>ש' נ' ו' ואח'</w:t>
      </w:r>
      <w:r>
        <w:rPr>
          <w:rFonts w:ascii="David" w:hAnsi="David" w:hint="cs"/>
          <w:sz w:val="24"/>
          <w:rtl/>
        </w:rPr>
        <w:t xml:space="preserve"> (29.9.21).</w:t>
      </w:r>
    </w:p>
    <w:p w:rsidR="007B00F3" w:rsidRDefault="007B00F3" w:rsidP="007B00F3">
      <w:pPr>
        <w:spacing w:line="360" w:lineRule="auto"/>
        <w:rPr>
          <w:rFonts w:ascii="David" w:hAnsi="David"/>
        </w:rPr>
      </w:pPr>
    </w:p>
    <w:p w:rsidR="007B00F3" w:rsidRPr="007B00F3" w:rsidRDefault="007B00F3" w:rsidP="007B00F3">
      <w:pPr>
        <w:pStyle w:val="ae"/>
        <w:numPr>
          <w:ilvl w:val="0"/>
          <w:numId w:val="1"/>
        </w:numPr>
        <w:spacing w:line="360" w:lineRule="auto"/>
        <w:rPr>
          <w:rFonts w:ascii="David" w:hAnsi="David"/>
          <w:sz w:val="24"/>
        </w:rPr>
      </w:pPr>
      <w:r>
        <w:rPr>
          <w:rFonts w:ascii="David" w:hAnsi="David"/>
          <w:color w:val="000000"/>
          <w:sz w:val="24"/>
          <w:rtl/>
        </w:rPr>
        <w:t xml:space="preserve">נפסק גם כי </w:t>
      </w:r>
      <w:r>
        <w:rPr>
          <w:rFonts w:ascii="David" w:hAnsi="David"/>
          <w:b/>
          <w:bCs/>
          <w:color w:val="000000"/>
          <w:sz w:val="24"/>
          <w:rtl/>
        </w:rPr>
        <w:t>״</w:t>
      </w:r>
      <w:r>
        <w:rPr>
          <w:rFonts w:ascii="David" w:hAnsi="David"/>
          <w:i/>
          <w:iCs/>
          <w:color w:val="000000"/>
          <w:sz w:val="24"/>
          <w:rtl/>
        </w:rPr>
        <w:t xml:space="preserve">פירוק שיתוף במקרקעין הינו מטרה רצויה הן לטובת השותפים עצמם והן לטובת המטרה המשקית הכללית מאחר והגשמתו שומרת על חופש הפעולה של בעל הזכות </w:t>
      </w:r>
      <w:r w:rsidRPr="007B00F3">
        <w:rPr>
          <w:rFonts w:ascii="David" w:hAnsi="David"/>
          <w:i/>
          <w:iCs/>
          <w:sz w:val="24"/>
          <w:rtl/>
        </w:rPr>
        <w:t>הקניינית וכן מונעת שותפות בלתי רצויה המעודדת מריבות בין השותפים</w:t>
      </w:r>
      <w:r w:rsidRPr="007B00F3">
        <w:rPr>
          <w:rFonts w:ascii="David" w:hAnsi="David"/>
          <w:sz w:val="24"/>
          <w:rtl/>
        </w:rPr>
        <w:t xml:space="preserve">״ </w:t>
      </w:r>
      <w:r w:rsidRPr="007B00F3">
        <w:rPr>
          <w:rFonts w:ascii="David" w:hAnsi="David"/>
          <w:b/>
          <w:bCs/>
          <w:sz w:val="24"/>
          <w:rtl/>
        </w:rPr>
        <w:t>ראו</w:t>
      </w:r>
      <w:r w:rsidRPr="007B00F3">
        <w:rPr>
          <w:rFonts w:ascii="David" w:hAnsi="David"/>
          <w:sz w:val="24"/>
          <w:rtl/>
        </w:rPr>
        <w:t xml:space="preserve">: </w:t>
      </w:r>
      <w:hyperlink r:id="rId12" w:history="1">
        <w:r w:rsidRPr="007B00F3">
          <w:rPr>
            <w:rStyle w:val="Hyperlink"/>
            <w:rFonts w:ascii="David" w:hAnsi="David" w:hint="cs"/>
            <w:color w:val="auto"/>
            <w:sz w:val="24"/>
            <w:u w:val="none"/>
            <w:rtl/>
          </w:rPr>
          <w:t>תמ״ש 32375-12-10</w:t>
        </w:r>
      </w:hyperlink>
      <w:r w:rsidRPr="007B00F3">
        <w:rPr>
          <w:rFonts w:ascii="David" w:hAnsi="David" w:hint="cs"/>
          <w:b/>
          <w:bCs/>
          <w:sz w:val="24"/>
          <w:rtl/>
        </w:rPr>
        <w:t xml:space="preserve"> ע.ש נ׳ מ.ש.</w:t>
      </w:r>
      <w:r w:rsidRPr="007B00F3">
        <w:rPr>
          <w:rFonts w:ascii="David" w:hAnsi="David" w:hint="cs"/>
          <w:sz w:val="24"/>
          <w:rtl/>
        </w:rPr>
        <w:t xml:space="preserve"> (10.02.2014);</w:t>
      </w:r>
      <w:r w:rsidRPr="007B00F3">
        <w:rPr>
          <w:rFonts w:ascii="David" w:hAnsi="David" w:hint="cs"/>
          <w:b/>
          <w:bCs/>
          <w:sz w:val="24"/>
          <w:rtl/>
        </w:rPr>
        <w:t xml:space="preserve"> </w:t>
      </w:r>
      <w:r w:rsidRPr="007B00F3">
        <w:rPr>
          <w:rFonts w:ascii="David" w:hAnsi="David" w:hint="cs"/>
          <w:sz w:val="24"/>
          <w:rtl/>
        </w:rPr>
        <w:t>תמ"ש 24058-12-18</w:t>
      </w:r>
      <w:r w:rsidRPr="007B00F3">
        <w:rPr>
          <w:rFonts w:ascii="David" w:hAnsi="David" w:hint="cs"/>
          <w:b/>
          <w:bCs/>
          <w:sz w:val="24"/>
          <w:rtl/>
        </w:rPr>
        <w:t xml:space="preserve"> פלונית נ' אלמוני </w:t>
      </w:r>
      <w:r w:rsidRPr="007B00F3">
        <w:rPr>
          <w:rFonts w:ascii="David" w:hAnsi="David" w:hint="cs"/>
          <w:sz w:val="24"/>
          <w:rtl/>
        </w:rPr>
        <w:t>(22.05.2023).</w:t>
      </w:r>
    </w:p>
    <w:p w:rsidR="007B00F3" w:rsidRDefault="007B00F3" w:rsidP="007B00F3">
      <w:pPr>
        <w:pStyle w:val="ae"/>
        <w:numPr>
          <w:ilvl w:val="0"/>
          <w:numId w:val="1"/>
        </w:numPr>
        <w:spacing w:line="360" w:lineRule="auto"/>
        <w:rPr>
          <w:rFonts w:ascii="David" w:hAnsi="David"/>
          <w:sz w:val="24"/>
        </w:rPr>
      </w:pPr>
      <w:r>
        <w:rPr>
          <w:rFonts w:ascii="David" w:hAnsi="David"/>
          <w:color w:val="000000"/>
          <w:sz w:val="24"/>
          <w:rtl/>
        </w:rPr>
        <w:lastRenderedPageBreak/>
        <w:t xml:space="preserve">הזכות לפירוק שיתוף הוגדרה גם </w:t>
      </w:r>
      <w:r>
        <w:rPr>
          <w:rFonts w:ascii="David" w:hAnsi="David"/>
          <w:sz w:val="24"/>
          <w:rtl/>
        </w:rPr>
        <w:t xml:space="preserve">כזכות בסיסית הנגזרת מזכות היסוד של אדם על קניינו, כי לכל שותף במקרקעין ישנה הזכות לדרוש את פירוק השיתוף במקרקעין בכל עת </w:t>
      </w:r>
      <w:r w:rsidRPr="00C17F4E">
        <w:rPr>
          <w:rFonts w:ascii="David" w:hAnsi="David"/>
          <w:b/>
          <w:bCs/>
          <w:sz w:val="24"/>
          <w:rtl/>
        </w:rPr>
        <w:t>ראו</w:t>
      </w:r>
      <w:r>
        <w:rPr>
          <w:rFonts w:ascii="David" w:hAnsi="David"/>
          <w:sz w:val="24"/>
          <w:rtl/>
        </w:rPr>
        <w:t>: תלה"מ 27212-04-20</w:t>
      </w:r>
      <w:r>
        <w:rPr>
          <w:rFonts w:ascii="David" w:hAnsi="David"/>
          <w:b/>
          <w:bCs/>
          <w:sz w:val="24"/>
          <w:rtl/>
        </w:rPr>
        <w:t xml:space="preserve"> הגב' א נ' הגב' ש </w:t>
      </w:r>
      <w:r>
        <w:rPr>
          <w:rFonts w:ascii="David" w:hAnsi="David"/>
          <w:sz w:val="24"/>
          <w:rtl/>
        </w:rPr>
        <w:t>(21.6.2022); תלה"מ 35697-03-21</w:t>
      </w:r>
      <w:r>
        <w:rPr>
          <w:rFonts w:ascii="David" w:hAnsi="David"/>
          <w:b/>
          <w:bCs/>
          <w:sz w:val="24"/>
          <w:rtl/>
        </w:rPr>
        <w:t xml:space="preserve"> ד.א. נ' נ.א. (</w:t>
      </w:r>
      <w:r>
        <w:rPr>
          <w:rFonts w:ascii="David" w:hAnsi="David"/>
          <w:sz w:val="24"/>
          <w:rtl/>
        </w:rPr>
        <w:t>13.3.2022).</w:t>
      </w:r>
    </w:p>
    <w:p w:rsidR="007B00F3" w:rsidRDefault="007B00F3" w:rsidP="007B00F3">
      <w:pPr>
        <w:pStyle w:val="ae"/>
        <w:rPr>
          <w:rFonts w:ascii="David" w:hAnsi="David"/>
          <w:sz w:val="24"/>
        </w:rPr>
      </w:pPr>
    </w:p>
    <w:p w:rsidR="007B00F3" w:rsidRDefault="007B00F3" w:rsidP="007B00F3">
      <w:pPr>
        <w:pStyle w:val="ae"/>
        <w:numPr>
          <w:ilvl w:val="0"/>
          <w:numId w:val="1"/>
        </w:numPr>
        <w:spacing w:line="360" w:lineRule="auto"/>
        <w:rPr>
          <w:rFonts w:ascii="David" w:hAnsi="David"/>
          <w:sz w:val="24"/>
          <w:rtl/>
        </w:rPr>
      </w:pPr>
      <w:r>
        <w:rPr>
          <w:rFonts w:ascii="David" w:hAnsi="David"/>
          <w:sz w:val="24"/>
          <w:rtl/>
        </w:rPr>
        <w:t>במקרה שבפניי, הנתבעת לא מעלה למעשה כל טענה המונעת פירוק שיתוף לאלתר.</w:t>
      </w:r>
    </w:p>
    <w:p w:rsidR="007B00F3" w:rsidRDefault="007B00F3" w:rsidP="007B00F3">
      <w:pPr>
        <w:pStyle w:val="ae"/>
        <w:rPr>
          <w:rFonts w:ascii="David" w:hAnsi="David"/>
          <w:sz w:val="24"/>
        </w:rPr>
      </w:pPr>
    </w:p>
    <w:p w:rsidR="007B00F3" w:rsidRDefault="007B00F3" w:rsidP="007B00F3">
      <w:pPr>
        <w:pStyle w:val="ae"/>
        <w:numPr>
          <w:ilvl w:val="0"/>
          <w:numId w:val="1"/>
        </w:numPr>
        <w:spacing w:line="360" w:lineRule="auto"/>
        <w:rPr>
          <w:rFonts w:ascii="David" w:hAnsi="David"/>
          <w:sz w:val="24"/>
          <w:rtl/>
        </w:rPr>
      </w:pPr>
      <w:r>
        <w:rPr>
          <w:rFonts w:ascii="David" w:hAnsi="David"/>
          <w:sz w:val="24"/>
          <w:rtl/>
        </w:rPr>
        <w:t>הנתבעת מתגוננת משני טעמים עיקריים כדלהלן:</w:t>
      </w:r>
    </w:p>
    <w:p w:rsidR="007B00F3" w:rsidRDefault="007B00F3" w:rsidP="007B00F3">
      <w:pPr>
        <w:pStyle w:val="ae"/>
        <w:rPr>
          <w:rFonts w:ascii="David" w:hAnsi="David"/>
          <w:sz w:val="24"/>
        </w:rPr>
      </w:pPr>
    </w:p>
    <w:p w:rsidR="007B00F3" w:rsidRDefault="007B00F3" w:rsidP="007B00F3">
      <w:pPr>
        <w:pStyle w:val="ae"/>
        <w:spacing w:line="360" w:lineRule="auto"/>
        <w:rPr>
          <w:rFonts w:ascii="David" w:hAnsi="David"/>
          <w:sz w:val="24"/>
          <w:rtl/>
        </w:rPr>
      </w:pPr>
      <w:r>
        <w:rPr>
          <w:rFonts w:ascii="David" w:hAnsi="David"/>
          <w:sz w:val="24"/>
          <w:u w:val="single"/>
          <w:rtl/>
        </w:rPr>
        <w:t>הטעם הראשון</w:t>
      </w:r>
      <w:r>
        <w:rPr>
          <w:rFonts w:ascii="David" w:hAnsi="David"/>
          <w:sz w:val="24"/>
          <w:rtl/>
        </w:rPr>
        <w:t xml:space="preserve"> – הינו כי יש לבצע השבחה בטרם המכירה. טענה זו לא ניתן לקבל משעה שההשבחה דורשת השקעה כספית, והתובעים הודיעו כי אין להם אפשרות כלכלית לממן את עלות ההשבחה.</w:t>
      </w:r>
    </w:p>
    <w:p w:rsidR="007B00F3" w:rsidRDefault="007B00F3" w:rsidP="007B00F3">
      <w:pPr>
        <w:pStyle w:val="ae"/>
        <w:spacing w:line="360" w:lineRule="auto"/>
        <w:rPr>
          <w:rFonts w:ascii="David" w:hAnsi="David"/>
          <w:sz w:val="24"/>
          <w:rtl/>
        </w:rPr>
      </w:pPr>
    </w:p>
    <w:p w:rsidR="007B00F3" w:rsidRDefault="007B00F3" w:rsidP="007B00F3">
      <w:pPr>
        <w:pStyle w:val="ae"/>
        <w:spacing w:line="360" w:lineRule="auto"/>
        <w:rPr>
          <w:rFonts w:ascii="David" w:hAnsi="David"/>
          <w:sz w:val="24"/>
        </w:rPr>
      </w:pPr>
      <w:r>
        <w:rPr>
          <w:rFonts w:ascii="David" w:hAnsi="David"/>
          <w:sz w:val="24"/>
          <w:rtl/>
        </w:rPr>
        <w:t xml:space="preserve">הנתבעת גם לא הפנתה לכל הוראת דין שמכוחה רשאי בית המשפט לחייב צד להליך להכניס את ידו לכיסו ולממן את עלות ההשבחה. </w:t>
      </w:r>
    </w:p>
    <w:p w:rsidR="007B00F3" w:rsidRDefault="007B00F3" w:rsidP="007B00F3">
      <w:pPr>
        <w:pStyle w:val="ae"/>
        <w:spacing w:line="360" w:lineRule="auto"/>
        <w:rPr>
          <w:rFonts w:ascii="David" w:hAnsi="David"/>
          <w:sz w:val="24"/>
          <w:rtl/>
        </w:rPr>
      </w:pPr>
    </w:p>
    <w:p w:rsidR="007B00F3" w:rsidRDefault="007B00F3" w:rsidP="00282C1B">
      <w:pPr>
        <w:pStyle w:val="ae"/>
        <w:spacing w:line="360" w:lineRule="auto"/>
        <w:rPr>
          <w:rFonts w:ascii="David" w:hAnsi="David"/>
          <w:sz w:val="24"/>
          <w:rtl/>
        </w:rPr>
      </w:pPr>
      <w:r>
        <w:rPr>
          <w:rFonts w:ascii="David" w:hAnsi="David"/>
          <w:sz w:val="24"/>
          <w:rtl/>
        </w:rPr>
        <w:t xml:space="preserve">התובעים אמנם לא טענו כי השבחת הדירה לא תניב רווח כלכלי, אולם אין בכך בכדי למנוע פירוק שיתוף מיידי </w:t>
      </w:r>
      <w:r w:rsidRPr="007B00F3">
        <w:rPr>
          <w:rFonts w:ascii="David" w:hAnsi="David"/>
          <w:b/>
          <w:bCs/>
          <w:sz w:val="24"/>
          <w:rtl/>
        </w:rPr>
        <w:t>ראו למשל</w:t>
      </w:r>
      <w:r>
        <w:rPr>
          <w:rFonts w:ascii="David" w:hAnsi="David"/>
          <w:sz w:val="24"/>
          <w:rtl/>
        </w:rPr>
        <w:t>: תמ"ש 55378-07-21</w:t>
      </w:r>
      <w:r>
        <w:rPr>
          <w:rFonts w:ascii="David" w:hAnsi="David"/>
          <w:b/>
          <w:bCs/>
          <w:sz w:val="24"/>
          <w:rtl/>
        </w:rPr>
        <w:t xml:space="preserve"> נ' נ' ח'</w:t>
      </w:r>
      <w:r>
        <w:rPr>
          <w:rFonts w:ascii="David" w:hAnsi="David"/>
          <w:sz w:val="24"/>
          <w:rtl/>
        </w:rPr>
        <w:t xml:space="preserve"> (9.9.2024) בו נפסק כי אין בטענה לקיומו של פרויקט פינוי בינוי בנכס כדי לעכב את פירוק השיתוף.</w:t>
      </w:r>
    </w:p>
    <w:p w:rsidR="007B00F3" w:rsidRDefault="007B00F3" w:rsidP="007B00F3">
      <w:pPr>
        <w:pStyle w:val="ae"/>
        <w:spacing w:line="360" w:lineRule="auto"/>
        <w:rPr>
          <w:rFonts w:ascii="David" w:hAnsi="David"/>
          <w:sz w:val="24"/>
          <w:rtl/>
        </w:rPr>
      </w:pPr>
    </w:p>
    <w:p w:rsidR="007B00F3" w:rsidRDefault="007B00F3" w:rsidP="007B00F3">
      <w:pPr>
        <w:pStyle w:val="ae"/>
        <w:spacing w:after="0" w:line="360" w:lineRule="auto"/>
        <w:rPr>
          <w:rFonts w:ascii="David" w:hAnsi="David"/>
          <w:sz w:val="24"/>
        </w:rPr>
      </w:pPr>
      <w:r>
        <w:rPr>
          <w:rFonts w:ascii="David" w:hAnsi="David"/>
          <w:sz w:val="24"/>
          <w:rtl/>
        </w:rPr>
        <w:t xml:space="preserve">לא מצאתי גם כי יש למנות כונס נכסים לצורך השבחת הדירה. תפקידם של כונסי הנכסים הוא למכור את הנכס במחיר המתאים והראוי ביותר </w:t>
      </w:r>
      <w:r>
        <w:rPr>
          <w:rFonts w:ascii="David" w:hAnsi="David"/>
          <w:b/>
          <w:bCs/>
          <w:sz w:val="24"/>
          <w:rtl/>
        </w:rPr>
        <w:t>ראו</w:t>
      </w:r>
      <w:r>
        <w:rPr>
          <w:rFonts w:ascii="David" w:hAnsi="David"/>
          <w:sz w:val="24"/>
          <w:rtl/>
        </w:rPr>
        <w:t>: ת"א 44628-01-23</w:t>
      </w:r>
      <w:r>
        <w:rPr>
          <w:rFonts w:ascii="David" w:hAnsi="David"/>
          <w:b/>
          <w:bCs/>
          <w:sz w:val="24"/>
          <w:rtl/>
        </w:rPr>
        <w:t xml:space="preserve"> טהורי נ' עמרני</w:t>
      </w:r>
      <w:r>
        <w:rPr>
          <w:rFonts w:ascii="David" w:hAnsi="David"/>
          <w:sz w:val="24"/>
          <w:rtl/>
        </w:rPr>
        <w:t xml:space="preserve"> (4.3.2024), ולא לפעול להשבחתו כאשר מי מבעלי הנכס מתנגד לכך.</w:t>
      </w:r>
    </w:p>
    <w:p w:rsidR="007B00F3" w:rsidRDefault="007B00F3" w:rsidP="007B00F3">
      <w:pPr>
        <w:pStyle w:val="ae"/>
        <w:spacing w:after="0" w:line="360" w:lineRule="auto"/>
        <w:rPr>
          <w:rFonts w:ascii="David" w:hAnsi="David"/>
          <w:sz w:val="24"/>
          <w:rtl/>
        </w:rPr>
      </w:pPr>
    </w:p>
    <w:p w:rsidR="007B00F3" w:rsidRDefault="007B00F3" w:rsidP="007B00F3">
      <w:pPr>
        <w:pStyle w:val="ae"/>
        <w:spacing w:line="360" w:lineRule="auto"/>
        <w:rPr>
          <w:rFonts w:ascii="David" w:hAnsi="David"/>
          <w:sz w:val="24"/>
          <w:rtl/>
        </w:rPr>
      </w:pPr>
      <w:r w:rsidRPr="00282C1B">
        <w:rPr>
          <w:rFonts w:ascii="David" w:hAnsi="David"/>
          <w:sz w:val="24"/>
          <w:u w:val="single"/>
          <w:rtl/>
        </w:rPr>
        <w:t>הטעם השני</w:t>
      </w:r>
      <w:r w:rsidRPr="007B00F3">
        <w:rPr>
          <w:rFonts w:ascii="David" w:hAnsi="David"/>
          <w:sz w:val="24"/>
          <w:rtl/>
        </w:rPr>
        <w:t xml:space="preserve"> – הינו כי פסק הדין אינו חלוט. כידוע, על פי הפסיקה, פסק דין דורש את ביצועו, אלא אם בוטל </w:t>
      </w:r>
      <w:r w:rsidRPr="007B00F3">
        <w:rPr>
          <w:rFonts w:ascii="David" w:hAnsi="David"/>
          <w:b/>
          <w:bCs/>
          <w:sz w:val="24"/>
          <w:rtl/>
        </w:rPr>
        <w:t>ראו</w:t>
      </w:r>
      <w:r w:rsidRPr="007B00F3">
        <w:rPr>
          <w:rFonts w:ascii="David" w:hAnsi="David"/>
          <w:sz w:val="24"/>
          <w:rtl/>
        </w:rPr>
        <w:t xml:space="preserve">: </w:t>
      </w:r>
      <w:hyperlink r:id="rId13" w:history="1">
        <w:r w:rsidRPr="007B00F3">
          <w:rPr>
            <w:rStyle w:val="Hyperlink"/>
            <w:rFonts w:ascii="David" w:hAnsi="David" w:hint="cs"/>
            <w:color w:val="auto"/>
            <w:sz w:val="24"/>
            <w:u w:val="none"/>
            <w:rtl/>
          </w:rPr>
          <w:t xml:space="preserve">בג"צ 4805/07 </w:t>
        </w:r>
        <w:r w:rsidRPr="007B00F3">
          <w:rPr>
            <w:rStyle w:val="Hyperlink"/>
            <w:rFonts w:ascii="David" w:hAnsi="David" w:hint="cs"/>
            <w:b/>
            <w:bCs/>
            <w:color w:val="auto"/>
            <w:sz w:val="24"/>
            <w:u w:val="none"/>
            <w:rtl/>
          </w:rPr>
          <w:t>המרכז לפלורליזם יהודי-התנועה ליהדות מתקדמת בישראל נ' משרד החינוך,</w:t>
        </w:r>
        <w:r w:rsidRPr="007B00F3">
          <w:rPr>
            <w:rStyle w:val="Hyperlink"/>
            <w:rFonts w:ascii="David" w:hAnsi="David" w:hint="cs"/>
            <w:color w:val="auto"/>
            <w:sz w:val="24"/>
            <w:u w:val="none"/>
            <w:rtl/>
          </w:rPr>
          <w:t xml:space="preserve"> סב</w:t>
        </w:r>
      </w:hyperlink>
      <w:r w:rsidRPr="007B00F3">
        <w:rPr>
          <w:rFonts w:ascii="David" w:hAnsi="David" w:hint="cs"/>
          <w:sz w:val="24"/>
          <w:rtl/>
        </w:rPr>
        <w:t>(4) 571; תמ"ש 46648-04-14</w:t>
      </w:r>
      <w:r w:rsidRPr="007B00F3">
        <w:rPr>
          <w:rFonts w:ascii="David" w:hAnsi="David" w:hint="cs"/>
          <w:b/>
          <w:bCs/>
          <w:sz w:val="24"/>
          <w:rtl/>
        </w:rPr>
        <w:t xml:space="preserve"> ש. נ' ש.</w:t>
      </w:r>
      <w:r w:rsidRPr="007B00F3">
        <w:rPr>
          <w:rFonts w:ascii="David" w:hAnsi="David" w:hint="cs"/>
          <w:sz w:val="24"/>
          <w:rtl/>
        </w:rPr>
        <w:t xml:space="preserve"> (06.11.2016); תלה"מ </w:t>
      </w:r>
      <w:r>
        <w:rPr>
          <w:rFonts w:ascii="David" w:hAnsi="David" w:hint="cs"/>
          <w:sz w:val="24"/>
          <w:rtl/>
        </w:rPr>
        <w:t>50322-12-18</w:t>
      </w:r>
      <w:r>
        <w:rPr>
          <w:rFonts w:ascii="David" w:hAnsi="David" w:hint="cs"/>
          <w:b/>
          <w:bCs/>
          <w:sz w:val="24"/>
          <w:rtl/>
        </w:rPr>
        <w:t xml:space="preserve"> א' נ' א' </w:t>
      </w:r>
      <w:r>
        <w:rPr>
          <w:rFonts w:ascii="David" w:hAnsi="David" w:hint="cs"/>
          <w:sz w:val="24"/>
          <w:rtl/>
        </w:rPr>
        <w:t>(12.07.2020) או ככל שניתן לגביו עיכוב ביצוע.</w:t>
      </w:r>
    </w:p>
    <w:p w:rsidR="007B00F3" w:rsidRDefault="007B00F3" w:rsidP="007B00F3">
      <w:pPr>
        <w:pStyle w:val="ae"/>
        <w:spacing w:line="360" w:lineRule="auto"/>
        <w:rPr>
          <w:rFonts w:ascii="David" w:hAnsi="David"/>
          <w:sz w:val="24"/>
          <w:rtl/>
        </w:rPr>
      </w:pPr>
    </w:p>
    <w:p w:rsidR="007B00F3" w:rsidRDefault="007B00F3" w:rsidP="007B00F3">
      <w:pPr>
        <w:pStyle w:val="ae"/>
        <w:spacing w:line="360" w:lineRule="auto"/>
        <w:rPr>
          <w:rFonts w:ascii="David" w:hAnsi="David"/>
          <w:sz w:val="24"/>
        </w:rPr>
      </w:pPr>
      <w:r>
        <w:rPr>
          <w:rFonts w:ascii="David" w:hAnsi="David"/>
          <w:sz w:val="24"/>
          <w:rtl/>
        </w:rPr>
        <w:t xml:space="preserve">במקרה שלפניי, פסק הדין טרם בוטל ולא נטען על ידי הנתבעת כי הוגשה בקשה לעכב את ביצועו. זאת, על אף שנטען על ידי התובעת בדיון כי למיטב הבנתה, הסיכוי שהערעור יתקבל הוא גבוה </w:t>
      </w:r>
      <w:r>
        <w:rPr>
          <w:rFonts w:ascii="David" w:hAnsi="David"/>
          <w:b/>
          <w:bCs/>
          <w:sz w:val="24"/>
          <w:rtl/>
        </w:rPr>
        <w:t>ראו: פרוט' עמ' 2 ש' 7</w:t>
      </w:r>
      <w:r>
        <w:rPr>
          <w:rFonts w:ascii="David" w:hAnsi="David"/>
          <w:sz w:val="24"/>
          <w:rtl/>
        </w:rPr>
        <w:t>. במצב דברים זה, איני רואה כל מניעה להורות על פירוק שיתוף בדירה חרף העובדה שפסק הדין אינו חלוט.</w:t>
      </w:r>
    </w:p>
    <w:p w:rsidR="007B00F3" w:rsidRDefault="007B00F3" w:rsidP="007B00F3">
      <w:pPr>
        <w:pStyle w:val="ae"/>
        <w:spacing w:after="0" w:line="360" w:lineRule="auto"/>
        <w:rPr>
          <w:rFonts w:ascii="David" w:hAnsi="David"/>
          <w:sz w:val="24"/>
        </w:rPr>
      </w:pPr>
    </w:p>
    <w:p w:rsidR="007B00F3" w:rsidRDefault="007B00F3" w:rsidP="007B00F3">
      <w:pPr>
        <w:pStyle w:val="ae"/>
        <w:numPr>
          <w:ilvl w:val="0"/>
          <w:numId w:val="1"/>
        </w:numPr>
        <w:spacing w:after="0" w:line="360" w:lineRule="auto"/>
        <w:rPr>
          <w:rFonts w:ascii="David" w:hAnsi="David"/>
          <w:sz w:val="24"/>
        </w:rPr>
      </w:pPr>
      <w:r>
        <w:rPr>
          <w:rFonts w:ascii="David" w:hAnsi="David"/>
          <w:sz w:val="24"/>
          <w:rtl/>
        </w:rPr>
        <w:t xml:space="preserve">לאור האמור, אני מורה על פירוק שיתוף בדירה. </w:t>
      </w:r>
    </w:p>
    <w:p w:rsidR="007B00F3" w:rsidRDefault="007B00F3" w:rsidP="007B00F3">
      <w:pPr>
        <w:pStyle w:val="ae"/>
        <w:numPr>
          <w:ilvl w:val="0"/>
          <w:numId w:val="1"/>
        </w:numPr>
        <w:spacing w:after="0" w:line="360" w:lineRule="auto"/>
        <w:rPr>
          <w:rFonts w:ascii="David" w:hAnsi="David"/>
          <w:sz w:val="24"/>
        </w:rPr>
      </w:pPr>
      <w:r>
        <w:rPr>
          <w:rFonts w:ascii="David" w:hAnsi="David"/>
          <w:sz w:val="24"/>
          <w:rtl/>
        </w:rPr>
        <w:lastRenderedPageBreak/>
        <w:t xml:space="preserve">הצדדים אינם חולקים כי יש צורך למנות כונס נכסים, והמחלוקת נסובה סביב שאלת זהותו. </w:t>
      </w:r>
    </w:p>
    <w:p w:rsidR="007B00F3" w:rsidRDefault="007B00F3" w:rsidP="007B00F3">
      <w:pPr>
        <w:pStyle w:val="ae"/>
        <w:rPr>
          <w:rFonts w:ascii="David" w:hAnsi="David"/>
          <w:sz w:val="24"/>
        </w:rPr>
      </w:pPr>
    </w:p>
    <w:p w:rsidR="007B00F3" w:rsidRDefault="007B00F3" w:rsidP="00282C1B">
      <w:pPr>
        <w:pStyle w:val="ae"/>
        <w:numPr>
          <w:ilvl w:val="0"/>
          <w:numId w:val="1"/>
        </w:numPr>
        <w:spacing w:after="0" w:line="360" w:lineRule="auto"/>
        <w:rPr>
          <w:rFonts w:ascii="David" w:hAnsi="David"/>
          <w:sz w:val="24"/>
          <w:rtl/>
        </w:rPr>
      </w:pPr>
      <w:r>
        <w:rPr>
          <w:rFonts w:ascii="David" w:hAnsi="David"/>
          <w:sz w:val="24"/>
          <w:rtl/>
        </w:rPr>
        <w:t>בנסיבות העניין, בשים לב לטיב יחסי הצדדים שהוגדרו על ידי ב"כ התובעים "אינה מיטבי</w:t>
      </w:r>
      <w:r w:rsidR="00282C1B">
        <w:rPr>
          <w:rFonts w:ascii="David" w:hAnsi="David" w:hint="cs"/>
          <w:sz w:val="24"/>
          <w:rtl/>
        </w:rPr>
        <w:t>ם</w:t>
      </w:r>
      <w:r>
        <w:rPr>
          <w:rFonts w:ascii="David" w:hAnsi="David"/>
          <w:sz w:val="24"/>
          <w:rtl/>
        </w:rPr>
        <w:t xml:space="preserve">" </w:t>
      </w:r>
      <w:r>
        <w:rPr>
          <w:rFonts w:ascii="David" w:hAnsi="David"/>
          <w:b/>
          <w:bCs/>
          <w:sz w:val="24"/>
          <w:rtl/>
        </w:rPr>
        <w:t>ראו: פרוט' עמ' 1 ש' 10</w:t>
      </w:r>
      <w:r>
        <w:rPr>
          <w:rFonts w:ascii="David" w:hAnsi="David"/>
          <w:sz w:val="24"/>
          <w:rtl/>
        </w:rPr>
        <w:t xml:space="preserve">, סבורני כי </w:t>
      </w:r>
      <w:r w:rsidR="00282C1B">
        <w:rPr>
          <w:rFonts w:ascii="David" w:hAnsi="David" w:hint="cs"/>
          <w:sz w:val="24"/>
          <w:rtl/>
        </w:rPr>
        <w:t xml:space="preserve">יש </w:t>
      </w:r>
      <w:r>
        <w:rPr>
          <w:rFonts w:ascii="David" w:hAnsi="David"/>
          <w:sz w:val="24"/>
          <w:rtl/>
        </w:rPr>
        <w:t xml:space="preserve">למנות כונס נכסים חיצוני </w:t>
      </w:r>
      <w:r>
        <w:rPr>
          <w:rFonts w:ascii="David" w:hAnsi="David"/>
          <w:b/>
          <w:bCs/>
          <w:sz w:val="24"/>
          <w:rtl/>
        </w:rPr>
        <w:t>ראו</w:t>
      </w:r>
      <w:r w:rsidR="00A65097">
        <w:rPr>
          <w:rFonts w:ascii="David" w:hAnsi="David" w:hint="cs"/>
          <w:sz w:val="24"/>
          <w:rtl/>
        </w:rPr>
        <w:t>:</w:t>
      </w:r>
      <w:r>
        <w:rPr>
          <w:rFonts w:ascii="David" w:hAnsi="David"/>
          <w:sz w:val="24"/>
          <w:rtl/>
        </w:rPr>
        <w:t xml:space="preserve"> </w:t>
      </w:r>
      <w:r>
        <w:rPr>
          <w:sz w:val="24"/>
          <w:rtl/>
        </w:rPr>
        <w:t xml:space="preserve">תלה"מ 55727-09-20 </w:t>
      </w:r>
      <w:r>
        <w:rPr>
          <w:b/>
          <w:bCs/>
          <w:sz w:val="24"/>
          <w:rtl/>
        </w:rPr>
        <w:t>פלונית נ' פלוני</w:t>
      </w:r>
      <w:r>
        <w:rPr>
          <w:rFonts w:ascii="David" w:hAnsi="David"/>
          <w:sz w:val="24"/>
          <w:rtl/>
        </w:rPr>
        <w:t xml:space="preserve"> (13.05.2021).</w:t>
      </w:r>
    </w:p>
    <w:p w:rsidR="007B00F3" w:rsidRDefault="007B00F3" w:rsidP="007B00F3">
      <w:pPr>
        <w:pStyle w:val="ae"/>
        <w:rPr>
          <w:rFonts w:ascii="David" w:hAnsi="David"/>
          <w:sz w:val="24"/>
        </w:rPr>
      </w:pPr>
    </w:p>
    <w:p w:rsidR="007B00F3" w:rsidRDefault="007B00F3" w:rsidP="00282C1B">
      <w:pPr>
        <w:pStyle w:val="ae"/>
        <w:numPr>
          <w:ilvl w:val="0"/>
          <w:numId w:val="1"/>
        </w:numPr>
        <w:spacing w:after="0" w:line="360" w:lineRule="auto"/>
        <w:rPr>
          <w:rFonts w:ascii="David" w:hAnsi="David"/>
          <w:sz w:val="24"/>
          <w:rtl/>
        </w:rPr>
      </w:pPr>
      <w:r>
        <w:rPr>
          <w:rFonts w:ascii="David" w:hAnsi="David"/>
          <w:sz w:val="24"/>
          <w:rtl/>
        </w:rPr>
        <w:t>בכוונת בית המשפט למנות ככונס נכסים את עו"ד נ</w:t>
      </w:r>
      <w:r w:rsidR="00282C1B">
        <w:rPr>
          <w:rFonts w:ascii="David" w:hAnsi="David" w:hint="cs"/>
          <w:sz w:val="24"/>
          <w:rtl/>
        </w:rPr>
        <w:t>'</w:t>
      </w:r>
      <w:r>
        <w:rPr>
          <w:rFonts w:ascii="David" w:hAnsi="David"/>
          <w:sz w:val="24"/>
          <w:rtl/>
        </w:rPr>
        <w:t xml:space="preserve"> כ</w:t>
      </w:r>
      <w:r w:rsidR="00282C1B">
        <w:rPr>
          <w:rFonts w:ascii="David" w:hAnsi="David" w:hint="cs"/>
          <w:sz w:val="24"/>
          <w:rtl/>
        </w:rPr>
        <w:t>'</w:t>
      </w:r>
      <w:r>
        <w:rPr>
          <w:rFonts w:ascii="David" w:hAnsi="David"/>
          <w:sz w:val="24"/>
          <w:rtl/>
        </w:rPr>
        <w:t xml:space="preserve"> מרח' </w:t>
      </w:r>
      <w:r w:rsidR="00282C1B">
        <w:rPr>
          <w:rFonts w:ascii="David" w:hAnsi="David" w:hint="cs"/>
          <w:sz w:val="24"/>
        </w:rPr>
        <w:t>XXX</w:t>
      </w:r>
      <w:r>
        <w:rPr>
          <w:rFonts w:ascii="David" w:hAnsi="David"/>
          <w:sz w:val="24"/>
          <w:rtl/>
        </w:rPr>
        <w:t xml:space="preserve"> ב</w:t>
      </w:r>
      <w:r w:rsidR="00282C1B">
        <w:rPr>
          <w:rFonts w:ascii="David" w:hAnsi="David" w:hint="cs"/>
          <w:sz w:val="24"/>
          <w:rtl/>
        </w:rPr>
        <w:t>_______</w:t>
      </w:r>
      <w:r>
        <w:rPr>
          <w:rFonts w:ascii="David" w:hAnsi="David"/>
          <w:sz w:val="24"/>
          <w:rtl/>
        </w:rPr>
        <w:t>. זאת בכפוף להסכמתו, וככל שלא תוגש תוך 5 ימים על ידי מי מהצדדים התנגדות עניינית באשר לזהותו.</w:t>
      </w:r>
    </w:p>
    <w:p w:rsidR="007B00F3" w:rsidRDefault="007B00F3" w:rsidP="007B00F3">
      <w:pPr>
        <w:pStyle w:val="ae"/>
        <w:rPr>
          <w:rFonts w:ascii="David" w:hAnsi="David"/>
          <w:sz w:val="24"/>
        </w:rPr>
      </w:pPr>
    </w:p>
    <w:p w:rsidR="007B00F3" w:rsidRDefault="007B00F3" w:rsidP="00282C1B">
      <w:pPr>
        <w:pStyle w:val="ae"/>
        <w:numPr>
          <w:ilvl w:val="0"/>
          <w:numId w:val="1"/>
        </w:numPr>
        <w:spacing w:after="0" w:line="360" w:lineRule="auto"/>
        <w:rPr>
          <w:rFonts w:ascii="David" w:hAnsi="David"/>
          <w:sz w:val="24"/>
          <w:rtl/>
        </w:rPr>
      </w:pPr>
      <w:r>
        <w:rPr>
          <w:rFonts w:ascii="David" w:hAnsi="David"/>
          <w:sz w:val="24"/>
          <w:rtl/>
        </w:rPr>
        <w:t>ב"כ התובעים תמציא את ההחלטה לנתבעת כדין בתוך 3 ימים, וככל שלא תוגש התנגדות האמורה, תגיש ב"כ התובעת בקשה למתן החלטה בצירוף אישור מסירה.</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 xml:space="preserve">משהתקבל הסעד העיקרי בתובענה, אני מחייב את הנתבעת בהוצאות בסך של 10,000 ₪. </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 xml:space="preserve">משניתן הסעד העיקרי, המזכירות תסגור את התיק והליכי הכינוס יתנהלו בתיק זה חרף היותו תיק סגור. </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rPr>
          <w:rFonts w:ascii="David" w:hAnsi="David"/>
          <w:sz w:val="24"/>
          <w:rtl/>
        </w:rPr>
      </w:pPr>
      <w:r>
        <w:rPr>
          <w:rFonts w:ascii="David" w:hAnsi="David"/>
          <w:sz w:val="24"/>
          <w:rtl/>
        </w:rPr>
        <w:t xml:space="preserve">פסיקתה מתאימה תוגש לחתימתי על ידי כונס הנכסים, לאחר </w:t>
      </w:r>
      <w:r>
        <w:rPr>
          <w:rFonts w:ascii="David" w:hAnsi="David" w:hint="cs"/>
          <w:sz w:val="24"/>
          <w:rtl/>
        </w:rPr>
        <w:t>ש</w:t>
      </w:r>
      <w:r>
        <w:rPr>
          <w:rFonts w:ascii="David" w:hAnsi="David"/>
          <w:sz w:val="24"/>
          <w:rtl/>
        </w:rPr>
        <w:t>זהותו</w:t>
      </w:r>
      <w:r>
        <w:rPr>
          <w:rFonts w:ascii="David" w:hAnsi="David" w:hint="cs"/>
          <w:sz w:val="24"/>
          <w:rtl/>
        </w:rPr>
        <w:t xml:space="preserve"> תקבע באופן סופי.</w:t>
      </w:r>
    </w:p>
    <w:p w:rsidR="007B00F3" w:rsidRDefault="007B00F3" w:rsidP="007B00F3">
      <w:pPr>
        <w:pStyle w:val="ae"/>
        <w:rPr>
          <w:rFonts w:ascii="David" w:hAnsi="David"/>
          <w:sz w:val="24"/>
        </w:rPr>
      </w:pPr>
    </w:p>
    <w:p w:rsidR="007B00F3" w:rsidRDefault="007B00F3" w:rsidP="007B00F3">
      <w:pPr>
        <w:pStyle w:val="ae"/>
        <w:numPr>
          <w:ilvl w:val="0"/>
          <w:numId w:val="1"/>
        </w:numPr>
        <w:spacing w:after="0" w:line="360" w:lineRule="auto"/>
        <w:rPr>
          <w:rFonts w:ascii="David" w:hAnsi="David"/>
          <w:sz w:val="24"/>
        </w:rPr>
      </w:pPr>
      <w:r>
        <w:rPr>
          <w:rFonts w:ascii="David" w:hAnsi="David"/>
          <w:sz w:val="24"/>
          <w:rtl/>
        </w:rPr>
        <w:t>זכות ערעור כדין.</w:t>
      </w:r>
    </w:p>
    <w:p w:rsidR="00282C1B" w:rsidRPr="00282C1B" w:rsidRDefault="00282C1B" w:rsidP="00282C1B">
      <w:pPr>
        <w:pStyle w:val="ae"/>
        <w:rPr>
          <w:rFonts w:ascii="David" w:hAnsi="David"/>
          <w:sz w:val="24"/>
          <w:rtl/>
        </w:rPr>
      </w:pPr>
    </w:p>
    <w:p w:rsidR="002914D6" w:rsidRPr="00282C1B" w:rsidRDefault="00282C1B" w:rsidP="00282C1B">
      <w:pPr>
        <w:spacing w:line="360" w:lineRule="auto"/>
        <w:rPr>
          <w:rFonts w:ascii="Arial" w:hAnsi="Arial"/>
          <w:b/>
          <w:bCs/>
          <w:noProof w:val="0"/>
          <w:rtl/>
        </w:rPr>
      </w:pPr>
      <w:r w:rsidRPr="00282C1B">
        <w:rPr>
          <w:rFonts w:ascii="David" w:hAnsi="David" w:hint="cs"/>
          <w:b/>
          <w:bCs/>
          <w:rtl/>
        </w:rPr>
        <w:t>ניתן לפרסם את ההחלטה, בכפוף להשמטת פרטים מזהים</w:t>
      </w:r>
      <w:r>
        <w:rPr>
          <w:rFonts w:ascii="David" w:hAnsi="David" w:hint="cs"/>
          <w:b/>
          <w:bCs/>
          <w:rtl/>
        </w:rPr>
        <w:t>,</w:t>
      </w:r>
      <w:r w:rsidRPr="00282C1B">
        <w:rPr>
          <w:rFonts w:ascii="David" w:hAnsi="David" w:hint="cs"/>
          <w:b/>
          <w:bCs/>
          <w:rtl/>
        </w:rPr>
        <w:t xml:space="preserve"> למעט פרטי ב"כ התובעים.</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י"ז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18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567842059"/>
        </w:sdtPr>
        <w:sdtEndPr/>
        <w:sdtContent>
          <w:r w:rsidR="004D35C4">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7B00F3">
      <w:headerReference w:type="even" r:id="rId15"/>
      <w:headerReference w:type="default" r:id="rId16"/>
      <w:footerReference w:type="even" r:id="rId17"/>
      <w:footerReference w:type="default" r:id="rId18"/>
      <w:headerReference w:type="first" r:id="rId19"/>
      <w:footerReference w:type="first" r:id="rId20"/>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FF" w:rsidRDefault="001913FF">
      <w:r>
        <w:separator/>
      </w:r>
    </w:p>
  </w:endnote>
  <w:endnote w:type="continuationSeparator" w:id="0">
    <w:p w:rsidR="001913FF" w:rsidRDefault="0019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00" w:rsidRDefault="008E03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E030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E0300">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00" w:rsidRDefault="008E03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FF" w:rsidRDefault="001913FF">
      <w:r>
        <w:separator/>
      </w:r>
    </w:p>
  </w:footnote>
  <w:footnote w:type="continuationSeparator" w:id="0">
    <w:p w:rsidR="001913FF" w:rsidRDefault="00191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00" w:rsidRDefault="008E03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18 נובמבר 2024</w:t>
              </w:r>
            </w:p>
          </w:tc>
        </w:sdtContent>
      </w:sdt>
    </w:tr>
    <w:tr w:rsidR="002914D6">
      <w:trPr>
        <w:trHeight w:val="337"/>
        <w:jc w:val="center"/>
      </w:trPr>
      <w:tc>
        <w:tcPr>
          <w:tcW w:w="8721" w:type="dxa"/>
          <w:gridSpan w:val="2"/>
        </w:tcPr>
        <w:p w:rsidR="002914D6" w:rsidRDefault="001913FF" w:rsidP="00282C1B">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79074-09-24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CC29C2">
                <w:rPr>
                  <w:b/>
                  <w:bCs/>
                  <w:noProof w:val="0"/>
                  <w:sz w:val="26"/>
                  <w:szCs w:val="26"/>
                  <w:rtl/>
                </w:rPr>
                <w:t>פ</w:t>
              </w:r>
              <w:r w:rsidR="00282C1B">
                <w:rPr>
                  <w:rFonts w:hint="cs"/>
                  <w:b/>
                  <w:bCs/>
                  <w:noProof w:val="0"/>
                  <w:sz w:val="26"/>
                  <w:szCs w:val="26"/>
                  <w:rtl/>
                </w:rPr>
                <w:t>.</w:t>
              </w:r>
              <w:r w:rsidR="00CC29C2">
                <w:rPr>
                  <w:b/>
                  <w:bCs/>
                  <w:noProof w:val="0"/>
                  <w:sz w:val="26"/>
                  <w:szCs w:val="26"/>
                  <w:rtl/>
                </w:rPr>
                <w:t xml:space="preserve"> ואח' נ' ג</w:t>
              </w:r>
            </w:sdtContent>
          </w:sdt>
        </w:p>
        <w:p w:rsidR="002914D6" w:rsidRDefault="002914D6">
          <w:pPr>
            <w:rPr>
              <w:rtl/>
            </w:rPr>
          </w:pPr>
        </w:p>
        <w:p w:rsidR="008E71C6" w:rsidRDefault="008E71C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00" w:rsidRDefault="008E03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408DE"/>
    <w:multiLevelType w:val="hybridMultilevel"/>
    <w:tmpl w:val="B816B562"/>
    <w:lvl w:ilvl="0" w:tplc="1E863D3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3B138FA"/>
    <w:multiLevelType w:val="hybridMultilevel"/>
    <w:tmpl w:val="DB68B72A"/>
    <w:lvl w:ilvl="0" w:tplc="759A38AC">
      <w:start w:val="1"/>
      <w:numFmt w:val="hebrew1"/>
      <w:lvlText w:val="%1."/>
      <w:lvlJc w:val="center"/>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075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07597&amp;lt;/CaseID&amp;gt;_x000d__x000a_        &amp;lt;CaseMonth&amp;gt;9&amp;lt;/CaseMonth&amp;gt;_x000d__x000a_        &amp;lt;CaseYear&amp;gt;2024&amp;lt;/CaseYear&amp;gt;_x000d__x000a_        &amp;lt;CaseNumber&amp;gt;79074&amp;lt;/CaseNumber&amp;gt;_x000d__x000a_        &amp;lt;NumeratorGroupID&amp;gt;1&amp;lt;/NumeratorGroupID&amp;gt;_x000d__x000a_        &amp;lt;CaseName&amp;gt;פלר ואח&amp;#39; נ&amp;#39; גולן ואח&amp;#39;&amp;lt;/CaseName&amp;gt;_x000d__x000a_        &amp;lt;CourtID&amp;gt;30&amp;lt;/CourtID&amp;gt;_x000d__x000a_        &amp;lt;CaseTypeID&amp;gt;15&amp;lt;/CaseTypeID&amp;gt;_x000d__x000a_        &amp;lt;CaseInterestID&amp;gt;158&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9074-09-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1-18T09:40:00+02:00&amp;lt;/CasePreviousSessionDate&amp;gt;_x000d__x000a_        &amp;lt;CaseNextDeterminingTask&amp;gt;141&amp;lt;/CaseNextDeterminingTask&amp;gt;_x000d__x000a_        &amp;lt;TemporaryAidStatus /&amp;gt;_x000d__x000a_        &amp;lt;CaseOpenDate&amp;gt;2024-09-30T16:54: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07597&amp;lt;/CaseID&amp;gt;_x000d__x000a_        &amp;lt;CaseMonth&amp;gt;9&amp;lt;/CaseMonth&amp;gt;_x000d__x000a_        &amp;lt;CaseYear&amp;gt;2024&amp;lt;/CaseYear&amp;gt;_x000d__x000a_        &amp;lt;CaseNumber&amp;gt;79074&amp;lt;/CaseNumber&amp;gt;_x000d__x000a_        &amp;lt;NumeratorGroupID&amp;gt;1&amp;lt;/NumeratorGroupID&amp;gt;_x000d__x000a_        &amp;lt;CaseName&amp;gt;פלר ואח&amp;#39; נ&amp;#39; גולן ואח&amp;#39;&amp;lt;/CaseName&amp;gt;_x000d__x000a_        &amp;lt;CourtID&amp;gt;30&amp;lt;/CourtID&amp;gt;_x000d__x000a_        &amp;lt;CaseTypeID&amp;gt;15&amp;lt;/CaseTypeID&amp;gt;_x000d__x000a_        &amp;lt;CaseInterestID&amp;gt;158&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9074-09-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9-30T16:54: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8T15:57:31.6525485+02:00&amp;lt;/DecisionStatusChangeDate&amp;gt;_x000d__x000a_        &amp;lt;DecisionSignatureDate&amp;gt;2024-11-18T15:57:31.6525485+02:00&amp;lt;/DecisionSignatureDate&amp;gt;_x000d__x000a_        &amp;lt;DecisionSignatureUserID&amp;gt;306840554@GOV.IL&amp;lt;/DecisionSignatureUserID&amp;gt;_x000d__x000a_        &amp;lt;DecisionCreateDate&amp;gt;2024-11-18T15:57:31.6525485+02:00&amp;lt;/DecisionCreateDate&amp;gt;_x000d__x000a_        &amp;lt;DecisionChangeDate&amp;gt;2024-11-18T15:57:31.6525485+02: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200759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0"/>
    <w:docVar w:name="NGCS.TemplateProceedingID" w:val="3"/>
    <w:docVar w:name="SelectedDocumentID" w:val="460928057"/>
    <w:docVar w:name="WordClientAssemblyName" w:val="NGCS.Decision.ClientWordBL"/>
    <w:docVar w:name="WordClientClassName" w:val="NGCS.Decision.ClientWordBL.DecisionClient"/>
  </w:docVars>
  <w:rsids>
    <w:rsidRoot w:val="002914D6"/>
    <w:rsid w:val="00011212"/>
    <w:rsid w:val="000B11C8"/>
    <w:rsid w:val="0014058F"/>
    <w:rsid w:val="001913FF"/>
    <w:rsid w:val="0019474B"/>
    <w:rsid w:val="001C0E7E"/>
    <w:rsid w:val="00273D47"/>
    <w:rsid w:val="00282C1B"/>
    <w:rsid w:val="002856D3"/>
    <w:rsid w:val="002914D6"/>
    <w:rsid w:val="002F5307"/>
    <w:rsid w:val="003A0652"/>
    <w:rsid w:val="004D35C4"/>
    <w:rsid w:val="004F4787"/>
    <w:rsid w:val="00530E94"/>
    <w:rsid w:val="005E66BB"/>
    <w:rsid w:val="00654059"/>
    <w:rsid w:val="007B00F3"/>
    <w:rsid w:val="00822AA5"/>
    <w:rsid w:val="008E0300"/>
    <w:rsid w:val="008E55C6"/>
    <w:rsid w:val="008E71C6"/>
    <w:rsid w:val="00904FA7"/>
    <w:rsid w:val="00921E03"/>
    <w:rsid w:val="009A04C9"/>
    <w:rsid w:val="009D1711"/>
    <w:rsid w:val="00A65097"/>
    <w:rsid w:val="00A7661B"/>
    <w:rsid w:val="00B234CE"/>
    <w:rsid w:val="00B31305"/>
    <w:rsid w:val="00C17F4E"/>
    <w:rsid w:val="00CC29C2"/>
    <w:rsid w:val="00CE7F78"/>
    <w:rsid w:val="00D04B88"/>
    <w:rsid w:val="00DA714E"/>
    <w:rsid w:val="00E20A7C"/>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7B00F3"/>
    <w:pPr>
      <w:spacing w:after="160" w:line="256" w:lineRule="auto"/>
      <w:ind w:left="720"/>
      <w:contextualSpacing/>
      <w:jc w:val="both"/>
    </w:pPr>
    <w:rPr>
      <w:rFonts w:asciiTheme="minorHAnsi" w:eastAsiaTheme="minorHAnsi" w:hAnsiTheme="minorHAnsi"/>
      <w:noProof w:val="0"/>
      <w:sz w:val="22"/>
    </w:rPr>
  </w:style>
  <w:style w:type="character" w:styleId="Hyperlink">
    <w:name w:val="Hyperlink"/>
    <w:basedOn w:val="a0"/>
    <w:uiPriority w:val="99"/>
    <w:semiHidden/>
    <w:unhideWhenUsed/>
    <w:rsid w:val="007B00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77490553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5977597"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case/491228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741113"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nevo.co.il/law/72897/37"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אסתר פלר</FullName>
        <FirstName>אסתר</FirstName>
        <LastName>פלר</LastName>
        <PartyPropertyName/>
        <AuthenticationTypeAndNumber>ת"ז 000713198</AuthenticationTypeAndNumber>
        <RepresentatedOrRepresentativesNames>עינת גורביץ'</RepresentatedOrRepresentativesNames>
        <RepresentatedOrRepresentativesCount>1</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278205568</CasePartyID>
        <PartyTypeID>1</PartyTypeID>
        <ActivityStatusID>1</ActivityStatusID>
        <PartyAliasID>1</PartyAliasID>
        <PartyAliasName>תובע</PartyAliasName>
        <OrdinalNumber>1</OrdinalNumber>
        <LegalEntityID>69547781</LegalEntityID>
        <CaseLegalEntityID>132500422</CaseLegalEntityID>
        <AuthenticationTypeID>1</AuthenticationTypeID>
        <AuthenticationTypeName>ת"ז</AuthenticationTypeName>
        <LegalEntityNumber>000713198</LegalEntityNumber>
        <IsMainPartyType>true</IsMainPartyType>
        <CaseDisplayIdentifier>79074-09-24</CaseDisplayIdentifier>
        <CaseTypeID>15</CaseTypeID>
        <CaseTypeName>תיק משפחה (תמ"ש)</CaseTypeName>
        <CaseName>פלר ואח' נ' גולן ואח'</CaseName>
        <FullAddress>פרון שמעון 11 פתח תקווה </FullAddress>
        <MotionID>0</MotionID>
        <CasePleaID>0</CasePleaID>
        <FatherName>אהרן</FatherName>
        <LinkedCaseID>0</LinkedCaseID>
        <PartyID>1</PartyID>
        <CasePartyCategoryID>2</CasePartyCategoryID>
        <LegalEntityAddressID>91018923</LegalEntityAddressID>
        <PleaTypeID>4</PleaTypeID>
        <GroupPartyAlias>תובעים</GroupPartyAlias>
        <IsConverted>false</IsConverted>
        <LegalEntityRegisteredNameID>10910980</LegalEntityRegisteredNameID>
        <LegalEntityNameID>98294782</LegalEntityNameID>
        <RepresentatedNamesOfAssistant/>
        <LegalEntityTypeID>1</LegalEntityTypeID>
        <IsVerdictExists>false</IsVerdictExists>
        <IsAsirAzir>false</IsAsirAzir>
        <MainAndSecSpec/>
        <IsPublicationProhibited>false</IsPublicationProhibited>
        <PublicationProhibitedFullName>אסתר פלר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עינת גורביץ'</FullName>
        <FirstName>עינת</FirstName>
        <LastName>גורביץ'</LastName>
        <PartyPropertyName/>
        <AuthenticationTypeAndNumber>מ.ר. 60344</AuthenticationTypeAndNumber>
        <RepresentatedOrRepresentativesNames>בנימין מזרחי, יוספה סלינס, אסתר פלר</RepresentatedOrRepresentativesNames>
        <RepresentatedOrRepresentativesCount>3</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278205571</CasePartyID>
        <PartyTypeID>2</PartyTypeID>
        <ActivityStatusID>1</ActivityStatusID>
        <PartyAliasID>20</PartyAliasID>
        <PartyAliasName>בא כוח תובעים</PartyAliasName>
        <OrdinalNumber>1</OrdinalNumber>
        <LegalEntityID>76069146</LegalEntityID>
        <CaseLegalEntityID>132500425</CaseLegalEntityID>
        <AuthenticationTypeID>4</AuthenticationTypeID>
        <AuthenticationTypeName>מ.ר.</AuthenticationTypeName>
        <LegalEntityNumber>60344</LegalEntityNumber>
        <IsMainPartyType>true</IsMainPartyType>
        <CaseDisplayIdentifier>79074-09-24</CaseDisplayIdentifier>
        <CaseTypeID>15</CaseTypeID>
        <CaseTypeName>תיק משפחה (תמ"ש)</CaseTypeName>
        <CaseName>פלר ואח' נ' גולן ואח'</CaseName>
        <FullAddress>בר כוכבא 23 בני ברק </FullAddress>
        <EmailAddress>einat@gourlaw.co.il</EmailAddress>
        <MotionID>0</MotionID>
        <CasePleaID>0</CasePleaID>
        <LinkedCaseID>0</LinkedCaseID>
        <PartyID>1</PartyID>
        <CasePartyCategoryID>2</CasePartyCategoryID>
        <LegalEntityAddressID>89214680</LegalEntityAddressID>
        <LegalEntityEmailAddressID>68378256</LegalEntityEmailAddressID>
        <PleaTypeID>4</PleaTypeID>
        <LawyerOfficeName>משרד עו"ד עינת גורביץ'</LawyerOfficeName>
        <LawyerOfficeID>76069147</LawyerOfficeID>
        <GroupPartyAlias/>
        <IsConverted>false</IsConverted>
        <LegalEntityNameID>83234418</LegalEntityNameID>
        <RepresentatedNamesOfAssistant/>
        <LegalEntityTypeID>4</LegalEntityTypeID>
        <IsVerdictExists>false</IsVerdictExists>
        <IsAsirAzir>false</IsAsirAzir>
        <MainAndSecSpec/>
        <IsPublicationProhibited>false</IsPublicationProhibited>
        <PublicationProhibitedFullName>עינת גורביץ'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טליה פאולה גולן</FullName>
        <FirstName>פאולה טליה</FirstName>
        <LastName>גולן</LastName>
        <PartyPropertyName/>
        <AuthenticationTypeAndNumber>ת"ז 321656423</AuthenticationTypeAndNumber>
        <RepresentatedOrRepresentativesNames/>
        <RepresentatedOrRepresentativesCount>0</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278205572</CasePartyID>
        <PartyTypeID>1</PartyTypeID>
        <ActivityStatusID>1</ActivityStatusID>
        <PartyAliasID>2</PartyAliasID>
        <PartyAliasName>נתבע</PartyAliasName>
        <OrdinalNumber>1</OrdinalNumber>
        <LegalEntityID>76988698</LegalEntityID>
        <CaseLegalEntityID>132500426</CaseLegalEntityID>
        <AuthenticationTypeID>1</AuthenticationTypeID>
        <AuthenticationTypeName>ת"ז</AuthenticationTypeName>
        <LegalEntityNumber>321656423</LegalEntityNumber>
        <IsMainPartyType>true</IsMainPartyType>
        <CaseDisplayIdentifier>79074-09-24</CaseDisplayIdentifier>
        <CaseTypeID>15</CaseTypeID>
        <CaseTypeName>תיק משפחה (תמ"ש)</CaseTypeName>
        <CaseName>פלר ואח' נ' גולן ואח'</CaseName>
        <FullAddress>יעקב סלמן 7/3 ירושלים </FullAddress>
        <MotionID>0</MotionID>
        <CasePleaID>0</CasePleaID>
        <FatherName>משה</FatherName>
        <LinkedCaseID>0</LinkedCaseID>
        <PartyID>2</PartyID>
        <CasePartyCategoryID>2</CasePartyCategoryID>
        <LegalEntityAddressID>91018926</LegalEntityAddressID>
        <PleaTypeID>4</PleaTypeID>
        <GroupPartyAlias>נתבעים</GroupPartyAlias>
        <IsConverted>false</IsConverted>
        <LegalEntityRegisteredNameID>10444350</LegalEntityRegisteredNameID>
        <LegalEntityNameID>98294785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פאולה גולן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יוספה סלינס</FullName>
        <FirstName>יוספה</FirstName>
        <LastName>כהן</LastName>
        <PartyPropertyName/>
        <AuthenticationTypeAndNumber>ת"ז 054769195</AuthenticationTypeAndNumber>
        <RepresentatedOrRepresentativesNames>עינת גורביץ'</RepresentatedOrRepresentativesNames>
        <RepresentatedOrRepresentativesCount>1</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278205569</CasePartyID>
        <PartyTypeID>1</PartyTypeID>
        <ActivityStatusID>1</ActivityStatusID>
        <PartyAliasID>1</PartyAliasID>
        <PartyAliasName>תובע</PartyAliasName>
        <OrdinalNumber>2</OrdinalNumber>
        <LegalEntityID>8602774</LegalEntityID>
        <CaseLegalEntityID>132500423</CaseLegalEntityID>
        <AuthenticationTypeID>1</AuthenticationTypeID>
        <AuthenticationTypeName>ת"ז</AuthenticationTypeName>
        <LegalEntityNumber>054769195</LegalEntityNumber>
        <IsMainPartyType>true</IsMainPartyType>
        <CaseDisplayIdentifier>79074-09-24</CaseDisplayIdentifier>
        <CaseTypeID>15</CaseTypeID>
        <CaseTypeName>תיק משפחה (תמ"ש)</CaseTypeName>
        <CaseName>פלר ואח' נ' גולן ואח'</CaseName>
        <FullAddress>הנביאים 14/20 פתח תקווה </FullAddress>
        <MotionID>0</MotionID>
        <CasePleaID>0</CasePleaID>
        <FatherName>מאיר</FatherName>
        <LinkedCaseID>0</LinkedCaseID>
        <PartyID>1</PartyID>
        <CasePartyCategoryID>2</CasePartyCategoryID>
        <LegalEntityAddressID>91018924</LegalEntityAddressID>
        <PleaTypeID>4</PleaTypeID>
        <GroupPartyAlias>תובעים</GroupPartyAlias>
        <IsConverted>false</IsConverted>
        <LegalEntityRegisteredNameID>10910981</LegalEntityRegisteredNameID>
        <LegalEntityNameID>98294783</LegalEntityNameID>
        <RepresentatedNamesOfAssistant/>
        <LegalEntityTypeID>1</LegalEntityTypeID>
        <IsVerdictExists>false</IsVerdictExists>
        <IsAsirAzir>false</IsAsirAzir>
        <MainAndSecSpec/>
        <IsPublicationProhibited>false</IsPublicationProhibited>
        <PublicationProhibitedFullName>יוספה סלינס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מרים לוי (המנוח)</FullName>
        <FirstName>מרים</FirstName>
        <LastName>לוי</LastName>
        <PartyPropertyID>12</PartyPropertyID>
        <PartyPropertyName/>
        <AuthenticationTypeAndNumber>ת"ז 010134179</AuthenticationTypeAndNumber>
        <RepresentatedOrRepresentativesNames/>
        <RepresentatedOrRepresentativesCount>0</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278205573</CasePartyID>
        <PartyTypeID>1</PartyTypeID>
        <ActivityStatusID>1</ActivityStatusID>
        <PartyAliasID>2</PartyAliasID>
        <PartyAliasName>נתבע</PartyAliasName>
        <OrdinalNumber>2</OrdinalNumber>
        <LegalEntityID>81384168</LegalEntityID>
        <CaseLegalEntityID>132500427</CaseLegalEntityID>
        <AuthenticationTypeID>1</AuthenticationTypeID>
        <AuthenticationTypeName>ת"ז</AuthenticationTypeName>
        <LegalEntityNumber>010134179</LegalEntityNumber>
        <IsMainPartyType>true</IsMainPartyType>
        <CaseDisplayIdentifier>79074-09-24</CaseDisplayIdentifier>
        <CaseTypeID>15</CaseTypeID>
        <CaseTypeName>תיק משפחה (תמ"ש)</CaseTypeName>
        <CaseName>פלר ואח' נ' גולן ואח'</CaseName>
        <FullAddress/>
        <MotionID>0</MotionID>
        <CasePleaID>0</CasePleaID>
        <FatherName>שלמה</FatherName>
        <LinkedCaseID>0</LinkedCaseID>
        <PartyID>2</PartyID>
        <CasePartyCategoryID>2</CasePartyCategoryID>
        <PleaTypeID>4</PleaTypeID>
        <GroupPartyAlias>נתבעים</GroupPartyAlias>
        <IsConverted>false</IsConverted>
        <LegalEntityRegisteredNameID>10444351</LegalEntityRegisteredNameID>
        <LegalEntityNameID>98294786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לוי (המנוח)</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בנימין מזרחי</FullName>
        <FirstName>בנימין</FirstName>
        <LastName>מזרחי</LastName>
        <PartyPropertyName/>
        <AuthenticationTypeAndNumber>ת"ז 000714337</AuthenticationTypeAndNumber>
        <RepresentatedOrRepresentativesNames>עינת גורביץ'</RepresentatedOrRepresentativesNames>
        <RepresentatedOrRepresentativesCount>1</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278205570</CasePartyID>
        <PartyTypeID>1</PartyTypeID>
        <ActivityStatusID>1</ActivityStatusID>
        <PartyAliasID>1</PartyAliasID>
        <PartyAliasName>תובע</PartyAliasName>
        <OrdinalNumber>3</OrdinalNumber>
        <LegalEntityID>15851758</LegalEntityID>
        <CaseLegalEntityID>132500424</CaseLegalEntityID>
        <AuthenticationTypeID>1</AuthenticationTypeID>
        <AuthenticationTypeName>ת"ז</AuthenticationTypeName>
        <LegalEntityNumber>000714337</LegalEntityNumber>
        <IsMainPartyType>true</IsMainPartyType>
        <CaseDisplayIdentifier>79074-09-24</CaseDisplayIdentifier>
        <CaseTypeID>15</CaseTypeID>
        <CaseTypeName>תיק משפחה (תמ"ש)</CaseTypeName>
        <CaseName>פלר ואח' נ' גולן ואח'</CaseName>
        <FullAddress>המג 24 ירושלים </FullAddress>
        <MotionID>0</MotionID>
        <CasePleaID>0</CasePleaID>
        <FatherName>זכאי</FatherName>
        <LinkedCaseID>0</LinkedCaseID>
        <PartyID>1</PartyID>
        <CasePartyCategoryID>2</CasePartyCategoryID>
        <LegalEntityAddressID>91018925</LegalEntityAddressID>
        <PleaTypeID>4</PleaTypeID>
        <GroupPartyAlias>תובעים</GroupPartyAlias>
        <IsConverted>false</IsConverted>
        <LegalEntityRegisteredNameID>10444352</LegalEntityRegisteredNameID>
        <LegalEntityNameID>98294784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מזרחי</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2024-11-18T15:57:31.6525485+02:00</DecisionSignatureDate>
    <OpenCaseDate>2024-09-30T16:54:00+03:00</OpenCaseDate>
    <CaseFeeSum>0.000</CaseFeeSum>
    <DecisionTypeID>1</DecisionTypeID>
    <DecisionSignatureUserName>פליקס גורודצקי</DecisionSignatureUserName>
    <DecisionSignatureDateHebrew>2024-11-18T15:57:31.6525485+02:00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פלר ואח' נ' גולן ואח'</CaseName>
    <DecisionNumberInCase>8</DecisionNumberInCase>
  </dt_Decision>
  <dt_DecisionCase>
    <DecisionID>0</DecisionID>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אסתר פלר</FullName>
        <FirstName>אסתר</FirstName>
        <LastName>פלר</LastName>
        <PartyPropertyName/>
        <AuthenticationTypeAndNumber>ת"ז 000713198</AuthenticationTypeAndNumber>
        <RepresentatedOrRepresentativesNames>עינת גורביץ'</RepresentatedOrRepresentativesNames>
        <RepresentatedOrRepresentativesCount>1</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278205568</CasePartyID>
        <PartyTypeID>1</PartyTypeID>
        <ActivityStatusID>1</ActivityStatusID>
        <PartyAliasID>1</PartyAliasID>
        <PartyAliasName>תובע</PartyAliasName>
        <OrdinalNumber>1</OrdinalNumber>
        <LegalEntityID>69547781</LegalEntityID>
        <CaseLegalEntityID>132500422</CaseLegalEntityID>
        <AuthenticationTypeID>1</AuthenticationTypeID>
        <AuthenticationTypeName>ת"ז</AuthenticationTypeName>
        <LegalEntityNumber>000713198</LegalEntityNumber>
        <IsMainPartyType>true</IsMainPartyType>
        <CaseDisplayIdentifier>79074-09-24</CaseDisplayIdentifier>
        <CaseTypeID>15</CaseTypeID>
        <CaseTypeName>תיק משפחה (תמ"ש)</CaseTypeName>
        <CaseName>פלר ואח' נ' גולן ואח'</CaseName>
        <FullAddress>פרון שמעון 11 פתח תקווה </FullAddress>
        <MotionID>0</MotionID>
        <CasePleaID>0</CasePleaID>
        <FatherName>אהרן</FatherName>
        <LinkedCaseID>0</LinkedCaseID>
        <PartyID>1</PartyID>
        <CasePartyCategoryID>2</CasePartyCategoryID>
        <LegalEntityAddressID>91018923</LegalEntityAddressID>
        <PleaTypeID>4</PleaTypeID>
        <GroupPartyAlias>תובעים</GroupPartyAlias>
        <IsConverted>false</IsConverted>
        <LegalEntityRegisteredNameID>10910980</LegalEntityRegisteredNameID>
        <LegalEntityNameID>98294782</LegalEntityNameID>
        <RepresentatedNamesOfAssistant/>
        <LegalEntityTypeID>1</LegalEntityTypeID>
        <IsVerdictExists>false</IsVerdictExists>
        <IsAsirAzir>false</IsAsirAzir>
        <MainAndSecSpec/>
        <IsPublicationProhibited>false</IsPublicationProhibited>
        <PublicationProhibitedFullName>אסתר פלר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עינת גורביץ'</FullName>
        <FirstName>עינת</FirstName>
        <LastName>גורביץ'</LastName>
        <PartyPropertyName/>
        <AuthenticationTypeAndNumber>מ.ר. 60344</AuthenticationTypeAndNumber>
        <RepresentatedOrRepresentativesNames>בנימין מזרחי, יוספה סלינס, אסתר פלר</RepresentatedOrRepresentativesNames>
        <RepresentatedOrRepresentativesCount>3</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278205571</CasePartyID>
        <PartyTypeID>2</PartyTypeID>
        <ActivityStatusID>1</ActivityStatusID>
        <PartyAliasID>20</PartyAliasID>
        <PartyAliasName>בא כוח תובעים</PartyAliasName>
        <OrdinalNumber>1</OrdinalNumber>
        <LegalEntityID>76069146</LegalEntityID>
        <CaseLegalEntityID>132500425</CaseLegalEntityID>
        <AuthenticationTypeID>4</AuthenticationTypeID>
        <AuthenticationTypeName>מ.ר.</AuthenticationTypeName>
        <LegalEntityNumber>60344</LegalEntityNumber>
        <IsMainPartyType>true</IsMainPartyType>
        <CaseDisplayIdentifier>79074-09-24</CaseDisplayIdentifier>
        <CaseTypeID>15</CaseTypeID>
        <CaseTypeName>תיק משפחה (תמ"ש)</CaseTypeName>
        <CaseName>פלר ואח' נ' גולן ואח'</CaseName>
        <FullAddress>בר כוכבא 23 בני ברק </FullAddress>
        <EmailAddress>einat@gourlaw.co.il</EmailAddress>
        <MotionID>0</MotionID>
        <CasePleaID>0</CasePleaID>
        <LinkedCaseID>0</LinkedCaseID>
        <PartyID>1</PartyID>
        <CasePartyCategoryID>2</CasePartyCategoryID>
        <LegalEntityAddressID>89214680</LegalEntityAddressID>
        <LegalEntityEmailAddressID>68378256</LegalEntityEmailAddressID>
        <PleaTypeID>4</PleaTypeID>
        <LawyerOfficeName>משרד עו"ד עינת גורביץ'</LawyerOfficeName>
        <LawyerOfficeID>76069147</LawyerOfficeID>
        <GroupPartyAlias/>
        <IsConverted>false</IsConverted>
        <LegalEntityNameID>83234418</LegalEntityNameID>
        <RepresentatedNamesOfAssistant/>
        <LegalEntityTypeID>4</LegalEntityTypeID>
        <IsVerdictExists>false</IsVerdictExists>
        <IsAsirAzir>false</IsAsirAzir>
        <MainAndSecSpec/>
        <IsPublicationProhibited>false</IsPublicationProhibited>
        <PublicationProhibitedFullName>עינת גורביץ'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טליה פאולה גולן</FullName>
        <FirstName>פאולה טליה</FirstName>
        <LastName>גולן</LastName>
        <PartyPropertyName/>
        <AuthenticationTypeAndNumber>ת"ז 321656423</AuthenticationTypeAndNumber>
        <RepresentatedOrRepresentativesNames/>
        <RepresentatedOrRepresentativesCount>0</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278205572</CasePartyID>
        <PartyTypeID>1</PartyTypeID>
        <ActivityStatusID>1</ActivityStatusID>
        <PartyAliasID>2</PartyAliasID>
        <PartyAliasName>נתבע</PartyAliasName>
        <OrdinalNumber>1</OrdinalNumber>
        <LegalEntityID>76988698</LegalEntityID>
        <CaseLegalEntityID>132500426</CaseLegalEntityID>
        <AuthenticationTypeID>1</AuthenticationTypeID>
        <AuthenticationTypeName>ת"ז</AuthenticationTypeName>
        <LegalEntityNumber>321656423</LegalEntityNumber>
        <IsMainPartyType>true</IsMainPartyType>
        <CaseDisplayIdentifier>79074-09-24</CaseDisplayIdentifier>
        <CaseTypeID>15</CaseTypeID>
        <CaseTypeName>תיק משפחה (תמ"ש)</CaseTypeName>
        <CaseName>פלר ואח' נ' גולן ואח'</CaseName>
        <FullAddress>יעקב סלמן 7/3 ירושלים </FullAddress>
        <MotionID>0</MotionID>
        <CasePleaID>0</CasePleaID>
        <FatherName>משה</FatherName>
        <LinkedCaseID>0</LinkedCaseID>
        <PartyID>2</PartyID>
        <CasePartyCategoryID>2</CasePartyCategoryID>
        <LegalEntityAddressID>91018926</LegalEntityAddressID>
        <PleaTypeID>4</PleaTypeID>
        <GroupPartyAlias>נתבעים</GroupPartyAlias>
        <IsConverted>false</IsConverted>
        <LegalEntityRegisteredNameID>10444350</LegalEntityRegisteredNameID>
        <LegalEntityNameID>98294785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פאולה גולן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יוספה סלינס</FullName>
        <FirstName>יוספה</FirstName>
        <LastName>כהן</LastName>
        <PartyPropertyName/>
        <AuthenticationTypeAndNumber>ת"ז 054769195</AuthenticationTypeAndNumber>
        <RepresentatedOrRepresentativesNames>עינת גורביץ'</RepresentatedOrRepresentativesNames>
        <RepresentatedOrRepresentativesCount>1</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278205569</CasePartyID>
        <PartyTypeID>1</PartyTypeID>
        <ActivityStatusID>1</ActivityStatusID>
        <PartyAliasID>1</PartyAliasID>
        <PartyAliasName>תובע</PartyAliasName>
        <OrdinalNumber>2</OrdinalNumber>
        <LegalEntityID>8602774</LegalEntityID>
        <CaseLegalEntityID>132500423</CaseLegalEntityID>
        <AuthenticationTypeID>1</AuthenticationTypeID>
        <AuthenticationTypeName>ת"ז</AuthenticationTypeName>
        <LegalEntityNumber>054769195</LegalEntityNumber>
        <IsMainPartyType>true</IsMainPartyType>
        <CaseDisplayIdentifier>79074-09-24</CaseDisplayIdentifier>
        <CaseTypeID>15</CaseTypeID>
        <CaseTypeName>תיק משפחה (תמ"ש)</CaseTypeName>
        <CaseName>פלר ואח' נ' גולן ואח'</CaseName>
        <FullAddress>הנביאים 14/20 פתח תקווה </FullAddress>
        <MotionID>0</MotionID>
        <CasePleaID>0</CasePleaID>
        <FatherName>מאיר</FatherName>
        <LinkedCaseID>0</LinkedCaseID>
        <PartyID>1</PartyID>
        <CasePartyCategoryID>2</CasePartyCategoryID>
        <LegalEntityAddressID>91018924</LegalEntityAddressID>
        <PleaTypeID>4</PleaTypeID>
        <GroupPartyAlias>תובעים</GroupPartyAlias>
        <IsConverted>false</IsConverted>
        <LegalEntityRegisteredNameID>10910981</LegalEntityRegisteredNameID>
        <LegalEntityNameID>98294783</LegalEntityNameID>
        <RepresentatedNamesOfAssistant/>
        <LegalEntityTypeID>1</LegalEntityTypeID>
        <IsVerdictExists>false</IsVerdictExists>
        <IsAsirAzir>false</IsAsirAzir>
        <MainAndSecSpec/>
        <IsPublicationProhibited>false</IsPublicationProhibited>
        <PublicationProhibitedFullName>יוספה סלינס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מרים לוי (המנוח)</FullName>
        <FirstName>מרים</FirstName>
        <LastName>לוי</LastName>
        <PartyPropertyID>12</PartyPropertyID>
        <PartyPropertyName/>
        <AuthenticationTypeAndNumber>ת"ז 010134179</AuthenticationTypeAndNumber>
        <RepresentatedOrRepresentativesNames/>
        <RepresentatedOrRepresentativesCount>0</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278205573</CasePartyID>
        <PartyTypeID>1</PartyTypeID>
        <ActivityStatusID>1</ActivityStatusID>
        <PartyAliasID>2</PartyAliasID>
        <PartyAliasName>נתבע</PartyAliasName>
        <OrdinalNumber>2</OrdinalNumber>
        <LegalEntityID>81384168</LegalEntityID>
        <CaseLegalEntityID>132500427</CaseLegalEntityID>
        <AuthenticationTypeID>1</AuthenticationTypeID>
        <AuthenticationTypeName>ת"ז</AuthenticationTypeName>
        <LegalEntityNumber>010134179</LegalEntityNumber>
        <IsMainPartyType>true</IsMainPartyType>
        <CaseDisplayIdentifier>79074-09-24</CaseDisplayIdentifier>
        <CaseTypeID>15</CaseTypeID>
        <CaseTypeName>תיק משפחה (תמ"ש)</CaseTypeName>
        <CaseName>פלר ואח' נ' גולן ואח'</CaseName>
        <FullAddress/>
        <MotionID>0</MotionID>
        <CasePleaID>0</CasePleaID>
        <FatherName>שלמה</FatherName>
        <LinkedCaseID>0</LinkedCaseID>
        <PartyID>2</PartyID>
        <CasePartyCategoryID>2</CasePartyCategoryID>
        <PleaTypeID>4</PleaTypeID>
        <GroupPartyAlias>נתבעים</GroupPartyAlias>
        <IsConverted>false</IsConverted>
        <LegalEntityRegisteredNameID>10444351</LegalEntityRegisteredNameID>
        <LegalEntityNameID>98294786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לוי (המנוח)</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בנימין מזרחי</FullName>
        <FirstName>בנימין</FirstName>
        <LastName>מזרחי</LastName>
        <PartyPropertyName/>
        <AuthenticationTypeAndNumber>ת"ז 000714337</AuthenticationTypeAndNumber>
        <RepresentatedOrRepresentativesNames>עינת גורביץ'</RepresentatedOrRepresentativesNames>
        <RepresentatedOrRepresentativesCount>1</RepresentatedOrRepresentativesCount>
        <InvitedBy/>
        <CaseID>82007597</CaseID>
        <CaseJudicialPersonPresentationDS>
          <CaseJudicalPersonActive>
            <CaseID>82007597</CaseID>
            <JudicialPersonID>306840554@GOV.IL</JudicialPersonID>
            <JudicialPersonTypeID>1</JudicialPersonTypeID>
            <JudicialTypeID>1</JudicialTypeID>
            <IsChairman>false</IsChairman>
            <TreatmentStartDate>2024-09-30T21:04:24.903+03:00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278205570</CasePartyID>
        <PartyTypeID>1</PartyTypeID>
        <ActivityStatusID>1</ActivityStatusID>
        <PartyAliasID>1</PartyAliasID>
        <PartyAliasName>תובע</PartyAliasName>
        <OrdinalNumber>3</OrdinalNumber>
        <LegalEntityID>15851758</LegalEntityID>
        <CaseLegalEntityID>132500424</CaseLegalEntityID>
        <AuthenticationTypeID>1</AuthenticationTypeID>
        <AuthenticationTypeName>ת"ז</AuthenticationTypeName>
        <LegalEntityNumber>000714337</LegalEntityNumber>
        <IsMainPartyType>true</IsMainPartyType>
        <CaseDisplayIdentifier>79074-09-24</CaseDisplayIdentifier>
        <CaseTypeID>15</CaseTypeID>
        <CaseTypeName>תיק משפחה (תמ"ש)</CaseTypeName>
        <CaseName>פלר ואח' נ' גולן ואח'</CaseName>
        <FullAddress>המג 24 ירושלים </FullAddress>
        <MotionID>0</MotionID>
        <CasePleaID>0</CasePleaID>
        <FatherName>זכאי</FatherName>
        <LinkedCaseID>0</LinkedCaseID>
        <PartyID>1</PartyID>
        <CasePartyCategoryID>2</CasePartyCategoryID>
        <LegalEntityAddressID>91018925</LegalEntityAddressID>
        <PleaTypeID>4</PleaTypeID>
        <GroupPartyAlias>תובעים</GroupPartyAlias>
        <IsConverted>false</IsConverted>
        <LegalEntityRegisteredNameID>10444352</LegalEntityRegisteredNameID>
        <LegalEntityNameID>98294784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מזרחי</PublicationProhibitedFullName>
      </CaseParties>
    </CasePartiesSelectionDS>
    <CaseName>פלר ואח' נ' גולן ואח'</CaseName>
    <CaseDisplayIdentifier>79074-09-24</CaseDisplayIdentifier>
    <CaseInterestID>158</CaseInterestID>
    <CaseTypeShortName>תמ"ש</CaseTypeShortName>
  </dt_DecisionCase>
  <dt_DecisionJudgePanel>
    <JudgeID>306840554@GOV.IL</JudgeID>
    <DisplayName>פליקס גורודצקי</DisplayName>
    <RoleName>שופט</RoleName>
    <UserTitleName>שופט</UserTitleName>
  </dt_DecisionJudgePanel>
  <dt_LegalEntityDetails>
    <PartyID>1</PartyID>
    <PartyTypeID>1</PartyTypeID>
    <DecisionID>0</DecisionID>
    <StreetName>פרון שמעון 11</StreetName>
    <CityName>פתח תקווה</CityName>
    <FullName>אסתר פלר</FullName>
    <IsPublicationProhibited>false</IsPublicationProhibited>
  </dt_LegalEntityDetails>
  <dt_LegalEntityDetails>
    <Fax>153-509303113</Fax>
    <PartyID>1</PartyID>
    <PartyTypeID>2</PartyTypeID>
    <DecisionID>0</DecisionID>
    <StreetName>בר כוכבא 23</StreetName>
    <ZipCode>5126002</ZipCode>
    <CityName>בני ברק</CityName>
    <FullName>עינת גורביץ'</FullName>
    <Email>einat@gourlaw.co.il</Email>
    <IsPublicationProhibited>false</IsPublicationProhibited>
  </dt_LegalEntityDetails>
  <dt_LegalEntityDetails>
    <PartyID>2</PartyID>
    <PartyTypeID>1</PartyTypeID>
    <DecisionID>0</DecisionID>
    <StreetName>יעקב סלמן 7/3</StreetName>
    <CityName>ירושלים</CityName>
    <FullName>טליה פאולה גולן</FullName>
    <IsPublicationProhibited>false</IsPublicationProhibited>
  </dt_LegalEntityDetails>
  <dt_LegalEntityDetails>
    <PartyID>1</PartyID>
    <PartyTypeID>1</PartyTypeID>
    <DecisionID>0</DecisionID>
    <StreetName>הנביאים 14/20</StreetName>
    <CityName>פתח תקווה</CityName>
    <FullName>יוספה סלינס</FullName>
    <IsPublicationProhibited>false</IsPublicationProhibited>
  </dt_LegalEntityDetails>
  <dt_LegalEntityDetails>
    <PartyID>2</PartyID>
    <PartyTypeID>1</PartyTypeID>
    <DecisionID>0</DecisionID>
    <FullName>מרים לוי</FullName>
    <IsPublicationProhibited>false</IsPublicationProhibited>
  </dt_LegalEntityDetails>
  <dt_LegalEntityDetails>
    <PartyID>1</PartyID>
    <PartyTypeID>1</PartyTypeID>
    <DecisionID>0</DecisionID>
    <StreetName>המג 24</StreetName>
    <CityName>ירושלים</CityName>
    <FullName>בנימין מזרחי</FullName>
    <IsPublicationProhibited>false</IsPublicationProhibited>
  </dt_LegalEntityDetails>
  <dt_CaseJudicalPersonActive>
    <CaseJudicalPerson>שופט פליקס גורודצקי</CaseJudicalPerson>
  </dt_CaseJudicalPersonActive>
  <dt_Sitting>
    <PreviousMeetingDate>2024-11-18T09:40:00+02:00</PreviousMeetingDate>
    <PreviousSittingTypeID>1</PreviousSittingTypeID>
    <PreviousMeetingDisplayName>שופט פליקס גורודצקי</PreviousMeetingDisplayName>
    <PreviousMeetingRoleName>שופט</PreviousMeetingRoleName>
    <PreviousMeetingUserTitleName>שופט</PreviousMeetingUserTitleName>
    <PreviousMeetingUserUPN>306840554@GOV.IL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EC55-E667-4894-A55C-2DC1CD4AE858}">
  <ds:schemaRefs/>
</ds:datastoreItem>
</file>

<file path=customXml/itemProps2.xml><?xml version="1.0" encoding="utf-8"?>
<ds:datastoreItem xmlns:ds="http://schemas.openxmlformats.org/officeDocument/2006/customXml" ds:itemID="{E107C261-6B21-46AA-9908-AB6ECDAFD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1242</Words>
  <Characters>6212</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2024-11-25T17:06:00Z</cp:lastPrinted>
  <dcterms:created xsi:type="dcterms:W3CDTF">2024-11-26T08:36:00Z</dcterms:created>
  <dcterms:modified xsi:type="dcterms:W3CDTF">2024-11-26T08:36:00Z</dcterms:modified>
</cp:coreProperties>
</file>